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98" w:rsidRDefault="00014C98">
      <w:pPr>
        <w:pStyle w:val="Heading6"/>
      </w:pPr>
      <w:r>
        <w:t>Solutions for End-of-Chapter Questions and Problems: Chapter Two</w:t>
      </w:r>
      <w:r w:rsidR="008A1F5A">
        <w:t xml:space="preserve">    </w:t>
      </w:r>
    </w:p>
    <w:p w:rsidR="00014C98" w:rsidRDefault="008A1F5A">
      <w:pPr>
        <w:rPr>
          <w:sz w:val="24"/>
        </w:rPr>
      </w:pPr>
      <w:r>
        <w:rPr>
          <w:sz w:val="24"/>
        </w:rPr>
        <w:t xml:space="preserve">         </w:t>
      </w:r>
    </w:p>
    <w:p w:rsidR="00014C98" w:rsidRDefault="00014C98">
      <w:pPr>
        <w:numPr>
          <w:ilvl w:val="0"/>
          <w:numId w:val="6"/>
        </w:numPr>
        <w:tabs>
          <w:tab w:val="left" w:pos="540"/>
          <w:tab w:val="left" w:pos="1080"/>
          <w:tab w:val="left" w:pos="1620"/>
          <w:tab w:val="left" w:pos="2160"/>
        </w:tabs>
        <w:rPr>
          <w:sz w:val="24"/>
        </w:rPr>
      </w:pPr>
      <w:r>
        <w:rPr>
          <w:sz w:val="24"/>
        </w:rPr>
        <w:t xml:space="preserve">What are the differences between community banks, regional </w:t>
      </w:r>
      <w:r w:rsidR="00514F6B">
        <w:rPr>
          <w:sz w:val="24"/>
        </w:rPr>
        <w:t xml:space="preserve">banks, and money-center banks? </w:t>
      </w:r>
      <w:r>
        <w:rPr>
          <w:sz w:val="24"/>
        </w:rPr>
        <w:t>Contrast the business activities, location, and markets of each of these bank groups.</w:t>
      </w:r>
    </w:p>
    <w:p w:rsidR="00014C98" w:rsidRDefault="00014C98">
      <w:pPr>
        <w:tabs>
          <w:tab w:val="left" w:pos="540"/>
        </w:tabs>
        <w:rPr>
          <w:sz w:val="24"/>
        </w:rPr>
      </w:pPr>
    </w:p>
    <w:p w:rsidR="00014C98" w:rsidRDefault="00014C98">
      <w:pPr>
        <w:pStyle w:val="BodyText"/>
      </w:pPr>
      <w:r>
        <w:t>Community banks typically have assets under $1 billion and serve consumer and small busine</w:t>
      </w:r>
      <w:r w:rsidR="00514F6B">
        <w:t xml:space="preserve">ss customers in local markets. </w:t>
      </w:r>
      <w:r w:rsidR="00BC09B7">
        <w:t>In 20</w:t>
      </w:r>
      <w:r w:rsidR="007E4CEE">
        <w:t>12</w:t>
      </w:r>
      <w:r>
        <w:t>, 9</w:t>
      </w:r>
      <w:r w:rsidR="007E4CEE">
        <w:t>1</w:t>
      </w:r>
      <w:r w:rsidR="00BC09B7">
        <w:t>.</w:t>
      </w:r>
      <w:r w:rsidR="007E4CEE">
        <w:t>5</w:t>
      </w:r>
      <w:r>
        <w:t xml:space="preserve"> percent of the banks in the United States were classified as community banks. However, these banks held only </w:t>
      </w:r>
      <w:r w:rsidR="007E4CEE">
        <w:t>9.0</w:t>
      </w:r>
      <w:r>
        <w:t xml:space="preserve"> percent of the as</w:t>
      </w:r>
      <w:r w:rsidR="00514F6B">
        <w:t xml:space="preserve">sets of the banking industry. </w:t>
      </w:r>
      <w:r>
        <w:t>In comparison with regional and money-center banks, community banks typically hold a larger percentage of assets in consumer and real estate loans and a smaller percentage of assets in co</w:t>
      </w:r>
      <w:r w:rsidR="00514F6B">
        <w:t xml:space="preserve">mmercial and industrial loans. </w:t>
      </w:r>
      <w:r>
        <w:t>These banks also rely more heavily on local deposits and less heavily on borrowed and international funds.</w:t>
      </w:r>
    </w:p>
    <w:p w:rsidR="00014C98" w:rsidRDefault="00014C98">
      <w:pPr>
        <w:pStyle w:val="BodyText"/>
      </w:pPr>
    </w:p>
    <w:p w:rsidR="00014C98" w:rsidRDefault="00014C98">
      <w:pPr>
        <w:pStyle w:val="BodyText"/>
      </w:pPr>
      <w:r>
        <w:t>Regional banks range in size from several billion dollars to several hun</w:t>
      </w:r>
      <w:r w:rsidR="00514F6B">
        <w:t>dred billion dollars in assets.</w:t>
      </w:r>
      <w:r>
        <w:t xml:space="preserve"> The banks normally are headquartered in larger regional cities and often have offices and branches in locations throughout large portions of the United States</w:t>
      </w:r>
      <w:r w:rsidR="00514F6B">
        <w:t xml:space="preserve">. </w:t>
      </w:r>
      <w:r>
        <w:t>Although these banks provide lending products to large corporate customers, many of the regional banks have developed sophisticated electronic and branching services to consu</w:t>
      </w:r>
      <w:r w:rsidR="00514F6B">
        <w:t xml:space="preserve">mer and residential customers. </w:t>
      </w:r>
      <w:r>
        <w:t>Regional banks utilize retail deposit bases for funding, but also develop relationships with large corporate customers and international money centers.</w:t>
      </w:r>
    </w:p>
    <w:p w:rsidR="00014C98" w:rsidRDefault="00014C98">
      <w:pPr>
        <w:pStyle w:val="BodyText"/>
      </w:pPr>
    </w:p>
    <w:p w:rsidR="00014C98" w:rsidRDefault="00014C98">
      <w:pPr>
        <w:pStyle w:val="BodyText"/>
      </w:pPr>
      <w:r>
        <w:t xml:space="preserve">Money center banks rely heavily on </w:t>
      </w:r>
      <w:proofErr w:type="spellStart"/>
      <w:r>
        <w:t>nondeposit</w:t>
      </w:r>
      <w:proofErr w:type="spellEnd"/>
      <w:r w:rsidR="00514F6B">
        <w:t xml:space="preserve"> or borrowed sources of funds. </w:t>
      </w:r>
      <w:r>
        <w:t>Some of these banks have no re</w:t>
      </w:r>
      <w:r w:rsidR="00BC09B7">
        <w:t xml:space="preserve">tail branch systems and most money center </w:t>
      </w:r>
      <w:r>
        <w:t>banks are major participant</w:t>
      </w:r>
      <w:r w:rsidR="00514F6B">
        <w:t xml:space="preserve">s in foreign currency markets. </w:t>
      </w:r>
      <w:r>
        <w:t>These banks compete with the larger regional banks for large commercial loans and with international banks for i</w:t>
      </w:r>
      <w:r w:rsidR="00514F6B">
        <w:t xml:space="preserve">nternational commercial loans. </w:t>
      </w:r>
      <w:r>
        <w:t>Most money center banks have headquarters in New York City.</w:t>
      </w:r>
    </w:p>
    <w:p w:rsidR="00014C98" w:rsidRDefault="00014C98">
      <w:pPr>
        <w:tabs>
          <w:tab w:val="left" w:pos="540"/>
        </w:tabs>
        <w:rPr>
          <w:sz w:val="24"/>
        </w:rPr>
      </w:pPr>
    </w:p>
    <w:p w:rsidR="00014C98" w:rsidRDefault="00014C98">
      <w:pPr>
        <w:numPr>
          <w:ilvl w:val="0"/>
          <w:numId w:val="6"/>
        </w:numPr>
        <w:rPr>
          <w:sz w:val="24"/>
        </w:rPr>
      </w:pPr>
      <w:r>
        <w:rPr>
          <w:sz w:val="24"/>
        </w:rPr>
        <w:t>Use the data in Table 2-</w:t>
      </w:r>
      <w:r w:rsidR="007E4CEE">
        <w:rPr>
          <w:sz w:val="24"/>
        </w:rPr>
        <w:t>5</w:t>
      </w:r>
      <w:r>
        <w:rPr>
          <w:sz w:val="24"/>
        </w:rPr>
        <w:t xml:space="preserve"> for banks in the two asset size groups (a) $100 million-$1 billion and (b) </w:t>
      </w:r>
      <w:r w:rsidR="00A6647B">
        <w:rPr>
          <w:sz w:val="24"/>
        </w:rPr>
        <w:t>more than</w:t>
      </w:r>
      <w:r>
        <w:rPr>
          <w:sz w:val="24"/>
        </w:rPr>
        <w:t xml:space="preserve"> $10 billion to answer the following questions.</w:t>
      </w:r>
    </w:p>
    <w:p w:rsidR="00014C98" w:rsidRDefault="00014C98">
      <w:pPr>
        <w:pStyle w:val="Footer"/>
        <w:tabs>
          <w:tab w:val="clear" w:pos="4320"/>
          <w:tab w:val="clear" w:pos="8640"/>
          <w:tab w:val="left" w:pos="0"/>
        </w:tabs>
        <w:rPr>
          <w:sz w:val="24"/>
        </w:rPr>
      </w:pPr>
    </w:p>
    <w:p w:rsidR="00014C98" w:rsidRDefault="00014C98">
      <w:pPr>
        <w:pStyle w:val="Footer"/>
        <w:tabs>
          <w:tab w:val="clear" w:pos="4320"/>
          <w:tab w:val="clear" w:pos="8640"/>
          <w:tab w:val="left" w:pos="0"/>
          <w:tab w:val="left" w:pos="540"/>
          <w:tab w:val="left" w:pos="900"/>
        </w:tabs>
        <w:ind w:left="900" w:hanging="900"/>
        <w:rPr>
          <w:sz w:val="24"/>
        </w:rPr>
      </w:pPr>
      <w:r>
        <w:rPr>
          <w:sz w:val="24"/>
        </w:rPr>
        <w:tab/>
        <w:t>a.</w:t>
      </w:r>
      <w:r>
        <w:rPr>
          <w:sz w:val="24"/>
        </w:rPr>
        <w:tab/>
        <w:t>Why have the ratios for ROA and ROE tended to increase for both gro</w:t>
      </w:r>
      <w:r w:rsidR="00BC09B7">
        <w:rPr>
          <w:sz w:val="24"/>
        </w:rPr>
        <w:t>ups over the 1990-2006</w:t>
      </w:r>
      <w:r w:rsidR="00514F6B">
        <w:rPr>
          <w:sz w:val="24"/>
        </w:rPr>
        <w:t xml:space="preserve"> period</w:t>
      </w:r>
      <w:r w:rsidR="007E4CEE">
        <w:rPr>
          <w:sz w:val="24"/>
        </w:rPr>
        <w:t>,</w:t>
      </w:r>
      <w:r w:rsidR="00F40D90">
        <w:rPr>
          <w:sz w:val="24"/>
        </w:rPr>
        <w:t xml:space="preserve"> decrease in 2007-2009</w:t>
      </w:r>
      <w:r w:rsidR="009943CB">
        <w:rPr>
          <w:sz w:val="24"/>
        </w:rPr>
        <w:t xml:space="preserve">, and </w:t>
      </w:r>
      <w:r w:rsidR="00175121">
        <w:rPr>
          <w:sz w:val="24"/>
        </w:rPr>
        <w:t>increase in 2010-2012</w:t>
      </w:r>
      <w:r w:rsidR="00514F6B">
        <w:rPr>
          <w:sz w:val="24"/>
        </w:rPr>
        <w:t xml:space="preserve">? </w:t>
      </w:r>
      <w:r>
        <w:rPr>
          <w:sz w:val="24"/>
        </w:rPr>
        <w:t>Identify and discuss the primary variables that affect ROA and ROE as they relate to these two size groups.</w:t>
      </w:r>
    </w:p>
    <w:p w:rsidR="00014C98" w:rsidRDefault="00014C98">
      <w:pPr>
        <w:tabs>
          <w:tab w:val="left" w:pos="720"/>
          <w:tab w:val="left" w:pos="2160"/>
        </w:tabs>
        <w:rPr>
          <w:sz w:val="24"/>
        </w:rPr>
      </w:pPr>
    </w:p>
    <w:p w:rsidR="00014C98" w:rsidRDefault="00014C98" w:rsidP="0015236A">
      <w:pPr>
        <w:pStyle w:val="BodyText"/>
        <w:tabs>
          <w:tab w:val="left" w:pos="2160"/>
        </w:tabs>
      </w:pPr>
      <w:r>
        <w:t>The primary reason for the improvements in ROA and ROE</w:t>
      </w:r>
      <w:r w:rsidR="00B93240">
        <w:t xml:space="preserve"> from</w:t>
      </w:r>
      <w:r>
        <w:t xml:space="preserve"> 1990s</w:t>
      </w:r>
      <w:r w:rsidR="00BC09B7">
        <w:t xml:space="preserve"> </w:t>
      </w:r>
      <w:r w:rsidR="00B93240">
        <w:t>through</w:t>
      </w:r>
      <w:r w:rsidR="00BC09B7">
        <w:t xml:space="preserve"> 200</w:t>
      </w:r>
      <w:r w:rsidR="00B93240">
        <w:t>6</w:t>
      </w:r>
      <w:r>
        <w:t xml:space="preserve"> may be related to the continued strength of the </w:t>
      </w:r>
      <w:proofErr w:type="spellStart"/>
      <w:r>
        <w:t>macroeconomy</w:t>
      </w:r>
      <w:proofErr w:type="spellEnd"/>
      <w:r>
        <w:t xml:space="preserve"> that allowed b</w:t>
      </w:r>
      <w:r w:rsidR="00BC09B7">
        <w:t xml:space="preserve">anks to operate with reduced </w:t>
      </w:r>
      <w:r>
        <w:t>bad debts</w:t>
      </w:r>
      <w:r w:rsidR="00514F6B">
        <w:t xml:space="preserve">, or loan charge-off problems. </w:t>
      </w:r>
      <w:r>
        <w:t>In addition, the continued low interest rate environment provided relatively low-cost sources of funds, and a shift</w:t>
      </w:r>
      <w:r w:rsidR="00BC09B7">
        <w:t xml:space="preserve"> toward growth in fee income</w:t>
      </w:r>
      <w:r>
        <w:t xml:space="preserve"> provided additional sources of </w:t>
      </w:r>
      <w:r w:rsidR="00514F6B">
        <w:t xml:space="preserve">revenue in many product lines. </w:t>
      </w:r>
      <w:r>
        <w:t>Finally, a growin</w:t>
      </w:r>
      <w:r w:rsidR="00BC09B7">
        <w:t>g secondary market for loans</w:t>
      </w:r>
      <w:r>
        <w:t xml:space="preserve"> allowed banks to control the size of the balance shee</w:t>
      </w:r>
      <w:r w:rsidR="00514F6B">
        <w:t xml:space="preserve">t by securitizing many assets. </w:t>
      </w:r>
      <w:r>
        <w:t xml:space="preserve">You will note some variance in performance in the last three years as the effects of a softer economy </w:t>
      </w:r>
      <w:r w:rsidR="00BC09B7">
        <w:t xml:space="preserve">and rising interest rates </w:t>
      </w:r>
      <w:r>
        <w:t>were felt in the financial industry.</w:t>
      </w:r>
    </w:p>
    <w:p w:rsidR="008A1F5A" w:rsidRDefault="008A1F5A">
      <w:pPr>
        <w:rPr>
          <w:sz w:val="24"/>
          <w:szCs w:val="24"/>
        </w:rPr>
      </w:pPr>
      <w:r>
        <w:rPr>
          <w:sz w:val="24"/>
          <w:szCs w:val="24"/>
        </w:rPr>
        <w:br w:type="page"/>
      </w:r>
    </w:p>
    <w:p w:rsidR="00B93240" w:rsidRDefault="00B93240" w:rsidP="0015236A">
      <w:pPr>
        <w:rPr>
          <w:sz w:val="24"/>
          <w:szCs w:val="24"/>
        </w:rPr>
      </w:pPr>
    </w:p>
    <w:p w:rsidR="008728CF" w:rsidRDefault="008728CF" w:rsidP="0015236A">
      <w:pPr>
        <w:rPr>
          <w:color w:val="000000"/>
          <w:sz w:val="24"/>
          <w:szCs w:val="24"/>
        </w:rPr>
      </w:pPr>
      <w:r w:rsidRPr="00B93240">
        <w:rPr>
          <w:sz w:val="24"/>
          <w:szCs w:val="24"/>
        </w:rPr>
        <w:t>In the late 2000s, the U.S. economy experienced its strongest recession since the Great Depression. Commercial banks’ performance deteriorated along with the economy.</w:t>
      </w:r>
      <w:r w:rsidR="00B93240" w:rsidRPr="00B93240">
        <w:rPr>
          <w:sz w:val="24"/>
          <w:szCs w:val="24"/>
        </w:rPr>
        <w:t xml:space="preserve"> As mortgage borrowers defaulted on their mortgages, financial institutions that held these “toxic” mortgages and “toxic” credit derivatives (in the form of mortgage backed securities) started announcing huge losses on them. Losses from the falling value of OBS securities reached over $1 trillion worldwide through 2009.</w:t>
      </w:r>
      <w:r w:rsidR="00B93240" w:rsidRPr="00B93240">
        <w:rPr>
          <w:color w:val="000000"/>
          <w:sz w:val="24"/>
          <w:szCs w:val="24"/>
        </w:rPr>
        <w:t xml:space="preserve"> </w:t>
      </w:r>
      <w:r w:rsidR="00175121">
        <w:rPr>
          <w:color w:val="000000"/>
          <w:sz w:val="24"/>
          <w:szCs w:val="24"/>
        </w:rPr>
        <w:t>B</w:t>
      </w:r>
      <w:r w:rsidR="00B93240">
        <w:rPr>
          <w:color w:val="000000"/>
          <w:sz w:val="24"/>
          <w:szCs w:val="24"/>
        </w:rPr>
        <w:t>igger banks held more o</w:t>
      </w:r>
      <w:r w:rsidR="00175121">
        <w:rPr>
          <w:color w:val="000000"/>
          <w:sz w:val="24"/>
          <w:szCs w:val="24"/>
        </w:rPr>
        <w:t>f</w:t>
      </w:r>
      <w:r w:rsidR="00B93240">
        <w:rPr>
          <w:color w:val="000000"/>
          <w:sz w:val="24"/>
          <w:szCs w:val="24"/>
        </w:rPr>
        <w:t xml:space="preserve"> these toxic assets and, thus, experienced larger losses in income</w:t>
      </w:r>
      <w:r w:rsidR="00175121">
        <w:rPr>
          <w:color w:val="000000"/>
          <w:sz w:val="24"/>
          <w:szCs w:val="24"/>
        </w:rPr>
        <w:t xml:space="preserve"> in 2008</w:t>
      </w:r>
      <w:r w:rsidR="00B93240">
        <w:rPr>
          <w:color w:val="000000"/>
          <w:sz w:val="24"/>
          <w:szCs w:val="24"/>
        </w:rPr>
        <w:t>. As a result, they tended to see lower</w:t>
      </w:r>
      <w:r w:rsidR="00175121">
        <w:rPr>
          <w:color w:val="000000"/>
          <w:sz w:val="24"/>
          <w:szCs w:val="24"/>
        </w:rPr>
        <w:t>, and even negative,</w:t>
      </w:r>
      <w:r w:rsidR="00B93240">
        <w:rPr>
          <w:color w:val="000000"/>
          <w:sz w:val="24"/>
          <w:szCs w:val="24"/>
        </w:rPr>
        <w:t xml:space="preserve"> ROAs and ROEs during this period. </w:t>
      </w:r>
      <w:r w:rsidR="00B93240" w:rsidRPr="00B93240">
        <w:rPr>
          <w:color w:val="000000"/>
          <w:sz w:val="24"/>
          <w:szCs w:val="24"/>
        </w:rPr>
        <w:t>Losses resulted in the failure, acquisition, or bailout of some of the largest FIs and a near meltdown of the world’s financial and economic systems.</w:t>
      </w:r>
    </w:p>
    <w:p w:rsidR="00175121" w:rsidRDefault="00175121" w:rsidP="0015236A">
      <w:pPr>
        <w:rPr>
          <w:color w:val="000000"/>
          <w:sz w:val="24"/>
          <w:szCs w:val="24"/>
        </w:rPr>
      </w:pPr>
    </w:p>
    <w:p w:rsidR="00175121" w:rsidRPr="00B93240" w:rsidRDefault="00175121" w:rsidP="0015236A">
      <w:pPr>
        <w:rPr>
          <w:sz w:val="24"/>
          <w:szCs w:val="24"/>
        </w:rPr>
      </w:pPr>
      <w:r>
        <w:rPr>
          <w:color w:val="000000"/>
          <w:sz w:val="24"/>
          <w:szCs w:val="24"/>
        </w:rPr>
        <w:t>As the economy recovered in 2010-2012, ROA and ROE returned closer to their pre-crisis levels. The recovery occurred quicker for bigger banks that received more government assistance and monitoring throughout the crisis. The biggest banks’ ROAs and ROEs returned to positive by 2009, while the smaller banks’ ROAs and ROEs remained negative until 2010.</w:t>
      </w:r>
    </w:p>
    <w:p w:rsidR="00014C98" w:rsidRDefault="00014C98" w:rsidP="0015236A">
      <w:pPr>
        <w:pStyle w:val="BodyText"/>
        <w:tabs>
          <w:tab w:val="left" w:pos="900"/>
          <w:tab w:val="left" w:pos="2160"/>
        </w:tabs>
      </w:pPr>
      <w:r>
        <w:tab/>
      </w:r>
    </w:p>
    <w:p w:rsidR="00014C98" w:rsidRDefault="00694E43">
      <w:pPr>
        <w:pStyle w:val="BodyText"/>
        <w:tabs>
          <w:tab w:val="left" w:pos="540"/>
          <w:tab w:val="left" w:pos="900"/>
          <w:tab w:val="left" w:pos="2160"/>
        </w:tabs>
        <w:ind w:left="900" w:hanging="900"/>
      </w:pPr>
      <w:r>
        <w:tab/>
      </w:r>
      <w:r w:rsidR="00014C98">
        <w:t>b.</w:t>
      </w:r>
      <w:r w:rsidR="00014C98">
        <w:tab/>
        <w:t>Why is ROA for the smaller banks generally larger than ROA for the large banks?</w:t>
      </w:r>
    </w:p>
    <w:p w:rsidR="00014C98" w:rsidRDefault="00014C98">
      <w:pPr>
        <w:tabs>
          <w:tab w:val="left" w:pos="720"/>
          <w:tab w:val="left" w:pos="1440"/>
          <w:tab w:val="left" w:pos="2160"/>
        </w:tabs>
        <w:rPr>
          <w:sz w:val="24"/>
        </w:rPr>
      </w:pPr>
    </w:p>
    <w:p w:rsidR="00014C98" w:rsidRDefault="00014C98" w:rsidP="0015236A">
      <w:pPr>
        <w:pStyle w:val="BodyTextIndent"/>
        <w:tabs>
          <w:tab w:val="clear" w:pos="540"/>
          <w:tab w:val="clear" w:pos="1620"/>
          <w:tab w:val="left" w:pos="1440"/>
          <w:tab w:val="left" w:pos="2160"/>
        </w:tabs>
        <w:ind w:left="0" w:firstLine="0"/>
      </w:pPr>
      <w:r>
        <w:t>Small banks historically have benefited from a la</w:t>
      </w:r>
      <w:r w:rsidR="00BC09B7">
        <w:t xml:space="preserve">rger spread between the cost of funds and the </w:t>
      </w:r>
      <w:r>
        <w:t>rate on assets, each of which is caused by the less severe competi</w:t>
      </w:r>
      <w:r w:rsidR="00514F6B">
        <w:t xml:space="preserve">tion in the localized markets. </w:t>
      </w:r>
      <w:r>
        <w:t>In addition, small banks have been able to control credit risk more efficiently and to operate with less overhead expense than large banks.</w:t>
      </w:r>
    </w:p>
    <w:p w:rsidR="00014C98" w:rsidRDefault="00014C98">
      <w:pPr>
        <w:tabs>
          <w:tab w:val="left" w:pos="720"/>
          <w:tab w:val="left" w:pos="1440"/>
          <w:tab w:val="left" w:pos="2160"/>
        </w:tabs>
        <w:rPr>
          <w:sz w:val="24"/>
        </w:rPr>
      </w:pPr>
    </w:p>
    <w:p w:rsidR="00014C98" w:rsidRDefault="00014C98">
      <w:pPr>
        <w:tabs>
          <w:tab w:val="left" w:pos="540"/>
          <w:tab w:val="left" w:pos="900"/>
          <w:tab w:val="left" w:pos="1440"/>
          <w:tab w:val="left" w:pos="2160"/>
        </w:tabs>
        <w:ind w:left="900" w:hanging="900"/>
        <w:rPr>
          <w:sz w:val="24"/>
        </w:rPr>
      </w:pPr>
      <w:r>
        <w:rPr>
          <w:sz w:val="24"/>
        </w:rPr>
        <w:tab/>
        <w:t>c.</w:t>
      </w:r>
      <w:r>
        <w:rPr>
          <w:sz w:val="24"/>
        </w:rPr>
        <w:tab/>
        <w:t>Why is the ratio for ROE consistently larger for the large bank group?</w:t>
      </w:r>
    </w:p>
    <w:p w:rsidR="00014C98" w:rsidRDefault="00014C98">
      <w:pPr>
        <w:tabs>
          <w:tab w:val="left" w:pos="720"/>
          <w:tab w:val="left" w:pos="1440"/>
          <w:tab w:val="left" w:pos="1620"/>
          <w:tab w:val="left" w:pos="2160"/>
        </w:tabs>
        <w:rPr>
          <w:sz w:val="24"/>
        </w:rPr>
      </w:pPr>
    </w:p>
    <w:p w:rsidR="00014C98" w:rsidRDefault="00014C98" w:rsidP="0015236A">
      <w:pPr>
        <w:pStyle w:val="BodyTextIndent"/>
        <w:tabs>
          <w:tab w:val="clear" w:pos="540"/>
          <w:tab w:val="left" w:pos="1440"/>
          <w:tab w:val="left" w:pos="2160"/>
        </w:tabs>
        <w:ind w:left="0" w:firstLine="0"/>
      </w:pPr>
      <w:r>
        <w:t xml:space="preserve">ROE is defined as net income divided by total equity, or ROA times the ratio </w:t>
      </w:r>
      <w:r w:rsidR="00514F6B">
        <w:t xml:space="preserve">of assets to equity. </w:t>
      </w:r>
      <w:r>
        <w:t>Because large banks typically operate with less equity per dollar of assets, net income per dollar of equity is larger.</w:t>
      </w:r>
    </w:p>
    <w:p w:rsidR="00014C98" w:rsidRDefault="00014C98">
      <w:pPr>
        <w:tabs>
          <w:tab w:val="left" w:pos="720"/>
          <w:tab w:val="left" w:pos="1440"/>
          <w:tab w:val="left" w:pos="1620"/>
          <w:tab w:val="left" w:pos="2160"/>
        </w:tabs>
        <w:rPr>
          <w:sz w:val="24"/>
        </w:rPr>
      </w:pPr>
    </w:p>
    <w:p w:rsidR="00014C98" w:rsidRDefault="00014C98">
      <w:pPr>
        <w:pStyle w:val="BodyTextIndent2"/>
      </w:pPr>
      <w:r>
        <w:tab/>
        <w:t>d.</w:t>
      </w:r>
      <w:r>
        <w:tab/>
        <w:t>Using the information on ROE decomposition in Appendix 2A, calculate the ratio of equity</w:t>
      </w:r>
      <w:r w:rsidR="00BC09B7">
        <w:t xml:space="preserve"> </w:t>
      </w:r>
      <w:r>
        <w:t>to</w:t>
      </w:r>
      <w:r w:rsidR="00BC09B7">
        <w:t xml:space="preserve"> </w:t>
      </w:r>
      <w:r>
        <w:t>total</w:t>
      </w:r>
      <w:r w:rsidR="00BC09B7">
        <w:t xml:space="preserve"> </w:t>
      </w:r>
      <w:r>
        <w:t>assets for each of the two bank gr</w:t>
      </w:r>
      <w:r w:rsidR="00514F6B">
        <w:t>oups for the period 1990-20</w:t>
      </w:r>
      <w:r w:rsidR="00175121">
        <w:t>12</w:t>
      </w:r>
      <w:r w:rsidR="00514F6B">
        <w:t xml:space="preserve">. </w:t>
      </w:r>
      <w:r>
        <w:t>Why has there been such dramatic change in the values over this time period, and why is there a difference in the size of the ratio for the two groups?</w:t>
      </w:r>
    </w:p>
    <w:p w:rsidR="008A1F5A" w:rsidRDefault="008A1F5A">
      <w:pPr>
        <w:rPr>
          <w:sz w:val="24"/>
        </w:rPr>
      </w:pPr>
      <w:r>
        <w:br w:type="page"/>
      </w:r>
    </w:p>
    <w:p w:rsidR="00014C98" w:rsidRDefault="00014C98">
      <w:pPr>
        <w:pStyle w:val="BodyTextIndent2"/>
      </w:pPr>
    </w:p>
    <w:p w:rsidR="00014C98" w:rsidRDefault="00014C98">
      <w:pPr>
        <w:pStyle w:val="BodyTextIndent2"/>
      </w:pPr>
      <w:r>
        <w:t>ROE = ROA x (Total Assets/Equity)</w:t>
      </w:r>
    </w:p>
    <w:p w:rsidR="00014C98" w:rsidRDefault="00014C98">
      <w:pPr>
        <w:pStyle w:val="BodyTextIndent2"/>
      </w:pPr>
      <w:r>
        <w:t>Therefore, (Equity/Total Assets) = ROA/ROE</w:t>
      </w:r>
    </w:p>
    <w:p w:rsidR="00014C98" w:rsidRDefault="00014C98">
      <w:pPr>
        <w:tabs>
          <w:tab w:val="left" w:pos="540"/>
          <w:tab w:val="left" w:pos="1440"/>
          <w:tab w:val="left" w:pos="1620"/>
          <w:tab w:val="left" w:pos="2160"/>
        </w:tabs>
        <w:rPr>
          <w:sz w:val="24"/>
        </w:rPr>
      </w:pPr>
    </w:p>
    <w:tbl>
      <w:tblPr>
        <w:tblW w:w="9005" w:type="dxa"/>
        <w:tblInd w:w="96" w:type="dxa"/>
        <w:tblLook w:val="0000" w:firstRow="0" w:lastRow="0" w:firstColumn="0" w:lastColumn="0" w:noHBand="0" w:noVBand="0"/>
      </w:tblPr>
      <w:tblGrid>
        <w:gridCol w:w="661"/>
        <w:gridCol w:w="895"/>
        <w:gridCol w:w="976"/>
        <w:gridCol w:w="1095"/>
        <w:gridCol w:w="1095"/>
        <w:gridCol w:w="380"/>
        <w:gridCol w:w="895"/>
        <w:gridCol w:w="784"/>
        <w:gridCol w:w="1112"/>
        <w:gridCol w:w="1112"/>
      </w:tblGrid>
      <w:tr w:rsidR="00014C98" w:rsidTr="0015236A">
        <w:trPr>
          <w:trHeight w:val="255"/>
        </w:trPr>
        <w:tc>
          <w:tcPr>
            <w:tcW w:w="661" w:type="dxa"/>
            <w:tcBorders>
              <w:top w:val="nil"/>
              <w:left w:val="nil"/>
              <w:bottom w:val="nil"/>
              <w:right w:val="nil"/>
            </w:tcBorders>
            <w:noWrap/>
            <w:vAlign w:val="bottom"/>
          </w:tcPr>
          <w:p w:rsidR="00014C98" w:rsidRDefault="00014C98">
            <w:pPr>
              <w:rPr>
                <w:rFonts w:ascii="Arial" w:hAnsi="Arial" w:cs="Arial"/>
              </w:rPr>
            </w:pPr>
          </w:p>
        </w:tc>
        <w:tc>
          <w:tcPr>
            <w:tcW w:w="4061" w:type="dxa"/>
            <w:gridSpan w:val="4"/>
            <w:tcBorders>
              <w:top w:val="nil"/>
              <w:left w:val="nil"/>
              <w:bottom w:val="single" w:sz="4" w:space="0" w:color="auto"/>
              <w:right w:val="nil"/>
            </w:tcBorders>
            <w:noWrap/>
            <w:vAlign w:val="bottom"/>
          </w:tcPr>
          <w:p w:rsidR="00014C98" w:rsidRDefault="00014C98">
            <w:pPr>
              <w:jc w:val="center"/>
              <w:rPr>
                <w:rFonts w:ascii="Arial" w:hAnsi="Arial" w:cs="Arial"/>
              </w:rPr>
            </w:pPr>
            <w:r>
              <w:rPr>
                <w:rFonts w:ascii="Arial" w:hAnsi="Arial" w:cs="Arial"/>
              </w:rPr>
              <w:t>$100 million - $1 Billion</w:t>
            </w:r>
          </w:p>
        </w:tc>
        <w:tc>
          <w:tcPr>
            <w:tcW w:w="380" w:type="dxa"/>
            <w:tcBorders>
              <w:top w:val="nil"/>
              <w:left w:val="nil"/>
              <w:bottom w:val="nil"/>
              <w:right w:val="nil"/>
            </w:tcBorders>
            <w:noWrap/>
            <w:vAlign w:val="bottom"/>
          </w:tcPr>
          <w:p w:rsidR="00014C98" w:rsidRDefault="00014C98">
            <w:pPr>
              <w:rPr>
                <w:rFonts w:ascii="Arial" w:hAnsi="Arial" w:cs="Arial"/>
              </w:rPr>
            </w:pPr>
          </w:p>
        </w:tc>
        <w:tc>
          <w:tcPr>
            <w:tcW w:w="3903" w:type="dxa"/>
            <w:gridSpan w:val="4"/>
            <w:tcBorders>
              <w:top w:val="nil"/>
              <w:left w:val="nil"/>
              <w:bottom w:val="single" w:sz="4" w:space="0" w:color="auto"/>
              <w:right w:val="nil"/>
            </w:tcBorders>
            <w:noWrap/>
            <w:vAlign w:val="bottom"/>
          </w:tcPr>
          <w:p w:rsidR="00014C98" w:rsidRDefault="00014C98">
            <w:pPr>
              <w:jc w:val="center"/>
              <w:rPr>
                <w:rFonts w:ascii="Arial" w:hAnsi="Arial" w:cs="Arial"/>
              </w:rPr>
            </w:pPr>
            <w:r>
              <w:rPr>
                <w:rFonts w:ascii="Arial" w:hAnsi="Arial" w:cs="Arial"/>
              </w:rPr>
              <w:t>Over $10 Billion</w:t>
            </w:r>
          </w:p>
        </w:tc>
      </w:tr>
      <w:tr w:rsidR="00014C98" w:rsidTr="0015236A">
        <w:trPr>
          <w:trHeight w:val="255"/>
        </w:trPr>
        <w:tc>
          <w:tcPr>
            <w:tcW w:w="661" w:type="dxa"/>
            <w:tcBorders>
              <w:top w:val="nil"/>
              <w:left w:val="nil"/>
              <w:bottom w:val="nil"/>
              <w:right w:val="nil"/>
            </w:tcBorders>
            <w:noWrap/>
            <w:vAlign w:val="bottom"/>
          </w:tcPr>
          <w:p w:rsidR="00014C98" w:rsidRDefault="00014C98">
            <w:pPr>
              <w:rPr>
                <w:rFonts w:ascii="Arial" w:hAnsi="Arial" w:cs="Arial"/>
                <w:u w:val="single"/>
              </w:rPr>
            </w:pPr>
            <w:r>
              <w:rPr>
                <w:rFonts w:ascii="Arial" w:hAnsi="Arial" w:cs="Arial"/>
                <w:u w:val="single"/>
              </w:rPr>
              <w:t>Year</w:t>
            </w:r>
          </w:p>
        </w:tc>
        <w:tc>
          <w:tcPr>
            <w:tcW w:w="895" w:type="dxa"/>
            <w:tcBorders>
              <w:top w:val="nil"/>
              <w:left w:val="nil"/>
              <w:bottom w:val="nil"/>
              <w:right w:val="nil"/>
            </w:tcBorders>
            <w:noWrap/>
            <w:vAlign w:val="bottom"/>
          </w:tcPr>
          <w:p w:rsidR="00014C98" w:rsidRDefault="00014C98">
            <w:pPr>
              <w:jc w:val="center"/>
              <w:rPr>
                <w:rFonts w:ascii="Arial" w:hAnsi="Arial" w:cs="Arial"/>
                <w:u w:val="single"/>
              </w:rPr>
            </w:pPr>
            <w:r>
              <w:rPr>
                <w:rFonts w:ascii="Arial" w:hAnsi="Arial" w:cs="Arial"/>
                <w:u w:val="single"/>
              </w:rPr>
              <w:t>ROE</w:t>
            </w:r>
          </w:p>
        </w:tc>
        <w:tc>
          <w:tcPr>
            <w:tcW w:w="976" w:type="dxa"/>
            <w:tcBorders>
              <w:top w:val="nil"/>
              <w:left w:val="nil"/>
              <w:bottom w:val="nil"/>
              <w:right w:val="nil"/>
            </w:tcBorders>
            <w:noWrap/>
            <w:vAlign w:val="bottom"/>
          </w:tcPr>
          <w:p w:rsidR="00014C98" w:rsidRDefault="00014C98">
            <w:pPr>
              <w:jc w:val="center"/>
              <w:rPr>
                <w:rFonts w:ascii="Arial" w:hAnsi="Arial" w:cs="Arial"/>
                <w:u w:val="single"/>
              </w:rPr>
            </w:pPr>
            <w:r>
              <w:rPr>
                <w:rFonts w:ascii="Arial" w:hAnsi="Arial" w:cs="Arial"/>
                <w:u w:val="single"/>
              </w:rPr>
              <w:t>ROA</w:t>
            </w:r>
          </w:p>
        </w:tc>
        <w:tc>
          <w:tcPr>
            <w:tcW w:w="1095" w:type="dxa"/>
            <w:tcBorders>
              <w:top w:val="nil"/>
              <w:left w:val="nil"/>
              <w:bottom w:val="nil"/>
              <w:right w:val="nil"/>
            </w:tcBorders>
            <w:noWrap/>
            <w:vAlign w:val="bottom"/>
          </w:tcPr>
          <w:p w:rsidR="00014C98" w:rsidRDefault="00014C98">
            <w:pPr>
              <w:jc w:val="center"/>
              <w:rPr>
                <w:rFonts w:ascii="Arial" w:hAnsi="Arial" w:cs="Arial"/>
                <w:u w:val="single"/>
              </w:rPr>
            </w:pPr>
            <w:r>
              <w:rPr>
                <w:rFonts w:ascii="Arial" w:hAnsi="Arial" w:cs="Arial"/>
                <w:u w:val="single"/>
              </w:rPr>
              <w:t>TA/Equity</w:t>
            </w:r>
          </w:p>
        </w:tc>
        <w:tc>
          <w:tcPr>
            <w:tcW w:w="1095" w:type="dxa"/>
            <w:tcBorders>
              <w:top w:val="nil"/>
              <w:left w:val="nil"/>
              <w:bottom w:val="nil"/>
              <w:right w:val="nil"/>
            </w:tcBorders>
            <w:noWrap/>
            <w:vAlign w:val="bottom"/>
          </w:tcPr>
          <w:p w:rsidR="00014C98" w:rsidRDefault="00014C98">
            <w:pPr>
              <w:jc w:val="center"/>
              <w:rPr>
                <w:rFonts w:ascii="Arial" w:hAnsi="Arial" w:cs="Arial"/>
                <w:u w:val="single"/>
              </w:rPr>
            </w:pPr>
            <w:r>
              <w:rPr>
                <w:rFonts w:ascii="Arial" w:hAnsi="Arial" w:cs="Arial"/>
                <w:u w:val="single"/>
              </w:rPr>
              <w:t>Equity/TA</w:t>
            </w:r>
          </w:p>
        </w:tc>
        <w:tc>
          <w:tcPr>
            <w:tcW w:w="380" w:type="dxa"/>
            <w:tcBorders>
              <w:top w:val="nil"/>
              <w:left w:val="nil"/>
              <w:bottom w:val="nil"/>
              <w:right w:val="nil"/>
            </w:tcBorders>
            <w:noWrap/>
            <w:vAlign w:val="bottom"/>
          </w:tcPr>
          <w:p w:rsidR="00014C98" w:rsidRDefault="00014C98">
            <w:pPr>
              <w:rPr>
                <w:rFonts w:ascii="Arial" w:hAnsi="Arial" w:cs="Arial"/>
              </w:rPr>
            </w:pPr>
          </w:p>
        </w:tc>
        <w:tc>
          <w:tcPr>
            <w:tcW w:w="895" w:type="dxa"/>
            <w:tcBorders>
              <w:top w:val="nil"/>
              <w:left w:val="nil"/>
              <w:bottom w:val="nil"/>
              <w:right w:val="nil"/>
            </w:tcBorders>
            <w:noWrap/>
            <w:vAlign w:val="bottom"/>
          </w:tcPr>
          <w:p w:rsidR="00014C98" w:rsidRDefault="00014C98">
            <w:pPr>
              <w:jc w:val="center"/>
              <w:rPr>
                <w:rFonts w:ascii="Arial" w:hAnsi="Arial" w:cs="Arial"/>
                <w:u w:val="single"/>
              </w:rPr>
            </w:pPr>
            <w:r>
              <w:rPr>
                <w:rFonts w:ascii="Arial" w:hAnsi="Arial" w:cs="Arial"/>
                <w:u w:val="single"/>
              </w:rPr>
              <w:t>ROE</w:t>
            </w:r>
          </w:p>
        </w:tc>
        <w:tc>
          <w:tcPr>
            <w:tcW w:w="784" w:type="dxa"/>
            <w:tcBorders>
              <w:top w:val="nil"/>
              <w:left w:val="nil"/>
              <w:bottom w:val="nil"/>
              <w:right w:val="nil"/>
            </w:tcBorders>
            <w:noWrap/>
            <w:vAlign w:val="bottom"/>
          </w:tcPr>
          <w:p w:rsidR="00014C98" w:rsidRDefault="00014C98">
            <w:pPr>
              <w:jc w:val="center"/>
              <w:rPr>
                <w:rFonts w:ascii="Arial" w:hAnsi="Arial" w:cs="Arial"/>
                <w:u w:val="single"/>
              </w:rPr>
            </w:pPr>
            <w:r>
              <w:rPr>
                <w:rFonts w:ascii="Arial" w:hAnsi="Arial" w:cs="Arial"/>
                <w:u w:val="single"/>
              </w:rPr>
              <w:t>ROA</w:t>
            </w:r>
          </w:p>
        </w:tc>
        <w:tc>
          <w:tcPr>
            <w:tcW w:w="1112" w:type="dxa"/>
            <w:tcBorders>
              <w:top w:val="nil"/>
              <w:left w:val="nil"/>
              <w:bottom w:val="nil"/>
              <w:right w:val="nil"/>
            </w:tcBorders>
            <w:noWrap/>
            <w:vAlign w:val="bottom"/>
          </w:tcPr>
          <w:p w:rsidR="00014C98" w:rsidRDefault="00014C98">
            <w:pPr>
              <w:jc w:val="center"/>
              <w:rPr>
                <w:rFonts w:ascii="Arial" w:hAnsi="Arial" w:cs="Arial"/>
                <w:u w:val="single"/>
              </w:rPr>
            </w:pPr>
            <w:r>
              <w:rPr>
                <w:rFonts w:ascii="Arial" w:hAnsi="Arial" w:cs="Arial"/>
                <w:u w:val="single"/>
              </w:rPr>
              <w:t>TA/Equity</w:t>
            </w:r>
          </w:p>
        </w:tc>
        <w:tc>
          <w:tcPr>
            <w:tcW w:w="1112" w:type="dxa"/>
            <w:tcBorders>
              <w:top w:val="nil"/>
              <w:left w:val="nil"/>
              <w:bottom w:val="nil"/>
              <w:right w:val="nil"/>
            </w:tcBorders>
            <w:noWrap/>
            <w:vAlign w:val="bottom"/>
          </w:tcPr>
          <w:p w:rsidR="00014C98" w:rsidRDefault="00014C98">
            <w:pPr>
              <w:jc w:val="center"/>
              <w:rPr>
                <w:rFonts w:ascii="Arial" w:hAnsi="Arial" w:cs="Arial"/>
                <w:u w:val="single"/>
              </w:rPr>
            </w:pPr>
            <w:r>
              <w:rPr>
                <w:rFonts w:ascii="Arial" w:hAnsi="Arial" w:cs="Arial"/>
                <w:u w:val="single"/>
              </w:rPr>
              <w:t>Equity/TA</w:t>
            </w:r>
          </w:p>
        </w:tc>
      </w:tr>
      <w:tr w:rsidR="00014C98" w:rsidTr="0015236A">
        <w:trPr>
          <w:trHeight w:val="255"/>
        </w:trPr>
        <w:tc>
          <w:tcPr>
            <w:tcW w:w="661" w:type="dxa"/>
            <w:tcBorders>
              <w:top w:val="nil"/>
              <w:left w:val="nil"/>
              <w:bottom w:val="nil"/>
              <w:right w:val="nil"/>
            </w:tcBorders>
            <w:noWrap/>
            <w:vAlign w:val="bottom"/>
          </w:tcPr>
          <w:p w:rsidR="00014C98" w:rsidRDefault="00014C98">
            <w:pPr>
              <w:rPr>
                <w:rFonts w:ascii="Arial" w:hAnsi="Arial" w:cs="Arial"/>
              </w:rPr>
            </w:pPr>
            <w:r>
              <w:rPr>
                <w:rFonts w:ascii="Arial" w:hAnsi="Arial" w:cs="Arial"/>
              </w:rPr>
              <w:t>1990</w:t>
            </w:r>
          </w:p>
        </w:tc>
        <w:tc>
          <w:tcPr>
            <w:tcW w:w="895"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9.95%</w:t>
            </w:r>
          </w:p>
        </w:tc>
        <w:tc>
          <w:tcPr>
            <w:tcW w:w="976"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0.78%</w:t>
            </w:r>
          </w:p>
        </w:tc>
        <w:tc>
          <w:tcPr>
            <w:tcW w:w="1095"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12.76</w:t>
            </w:r>
          </w:p>
        </w:tc>
        <w:tc>
          <w:tcPr>
            <w:tcW w:w="1095"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7.84%</w:t>
            </w:r>
          </w:p>
        </w:tc>
        <w:tc>
          <w:tcPr>
            <w:tcW w:w="380" w:type="dxa"/>
            <w:tcBorders>
              <w:top w:val="nil"/>
              <w:left w:val="nil"/>
              <w:bottom w:val="nil"/>
              <w:right w:val="nil"/>
            </w:tcBorders>
            <w:noWrap/>
            <w:vAlign w:val="bottom"/>
          </w:tcPr>
          <w:p w:rsidR="00014C98" w:rsidRDefault="00014C98">
            <w:pPr>
              <w:rPr>
                <w:rFonts w:ascii="Arial" w:hAnsi="Arial" w:cs="Arial"/>
              </w:rPr>
            </w:pPr>
          </w:p>
        </w:tc>
        <w:tc>
          <w:tcPr>
            <w:tcW w:w="895"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6.68%</w:t>
            </w:r>
          </w:p>
        </w:tc>
        <w:tc>
          <w:tcPr>
            <w:tcW w:w="784"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0.38%</w:t>
            </w:r>
          </w:p>
        </w:tc>
        <w:tc>
          <w:tcPr>
            <w:tcW w:w="1112"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17.58</w:t>
            </w:r>
          </w:p>
        </w:tc>
        <w:tc>
          <w:tcPr>
            <w:tcW w:w="1112"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5.69%</w:t>
            </w:r>
          </w:p>
        </w:tc>
      </w:tr>
      <w:tr w:rsidR="00014C98" w:rsidTr="0015236A">
        <w:trPr>
          <w:trHeight w:val="255"/>
        </w:trPr>
        <w:tc>
          <w:tcPr>
            <w:tcW w:w="661" w:type="dxa"/>
            <w:tcBorders>
              <w:top w:val="nil"/>
              <w:left w:val="nil"/>
              <w:bottom w:val="nil"/>
              <w:right w:val="nil"/>
            </w:tcBorders>
            <w:noWrap/>
            <w:vAlign w:val="bottom"/>
          </w:tcPr>
          <w:p w:rsidR="00014C98" w:rsidRDefault="00014C98">
            <w:pPr>
              <w:rPr>
                <w:rFonts w:ascii="Arial" w:hAnsi="Arial" w:cs="Arial"/>
              </w:rPr>
            </w:pPr>
            <w:r>
              <w:rPr>
                <w:rFonts w:ascii="Arial" w:hAnsi="Arial" w:cs="Arial"/>
              </w:rPr>
              <w:t>1995</w:t>
            </w:r>
          </w:p>
        </w:tc>
        <w:tc>
          <w:tcPr>
            <w:tcW w:w="895"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13.48%</w:t>
            </w:r>
          </w:p>
        </w:tc>
        <w:tc>
          <w:tcPr>
            <w:tcW w:w="976"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1.25%</w:t>
            </w:r>
          </w:p>
        </w:tc>
        <w:tc>
          <w:tcPr>
            <w:tcW w:w="1095"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10.78</w:t>
            </w:r>
          </w:p>
        </w:tc>
        <w:tc>
          <w:tcPr>
            <w:tcW w:w="1095"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9.27%</w:t>
            </w:r>
          </w:p>
        </w:tc>
        <w:tc>
          <w:tcPr>
            <w:tcW w:w="380" w:type="dxa"/>
            <w:tcBorders>
              <w:top w:val="nil"/>
              <w:left w:val="nil"/>
              <w:bottom w:val="nil"/>
              <w:right w:val="nil"/>
            </w:tcBorders>
            <w:noWrap/>
            <w:vAlign w:val="bottom"/>
          </w:tcPr>
          <w:p w:rsidR="00014C98" w:rsidRDefault="00014C98">
            <w:pPr>
              <w:rPr>
                <w:rFonts w:ascii="Arial" w:hAnsi="Arial" w:cs="Arial"/>
              </w:rPr>
            </w:pPr>
          </w:p>
        </w:tc>
        <w:tc>
          <w:tcPr>
            <w:tcW w:w="895"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15.60%</w:t>
            </w:r>
          </w:p>
        </w:tc>
        <w:tc>
          <w:tcPr>
            <w:tcW w:w="784"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1.10%</w:t>
            </w:r>
          </w:p>
        </w:tc>
        <w:tc>
          <w:tcPr>
            <w:tcW w:w="1112"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14.18</w:t>
            </w:r>
          </w:p>
        </w:tc>
        <w:tc>
          <w:tcPr>
            <w:tcW w:w="1112"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7.05%</w:t>
            </w:r>
          </w:p>
        </w:tc>
      </w:tr>
      <w:tr w:rsidR="00014C98" w:rsidTr="0015236A">
        <w:trPr>
          <w:trHeight w:val="255"/>
        </w:trPr>
        <w:tc>
          <w:tcPr>
            <w:tcW w:w="661" w:type="dxa"/>
            <w:tcBorders>
              <w:top w:val="nil"/>
              <w:left w:val="nil"/>
              <w:bottom w:val="nil"/>
              <w:right w:val="nil"/>
            </w:tcBorders>
            <w:noWrap/>
            <w:vAlign w:val="bottom"/>
          </w:tcPr>
          <w:p w:rsidR="00014C98" w:rsidRDefault="00014C98">
            <w:pPr>
              <w:rPr>
                <w:rFonts w:ascii="Arial" w:hAnsi="Arial" w:cs="Arial"/>
              </w:rPr>
            </w:pPr>
            <w:r>
              <w:rPr>
                <w:rFonts w:ascii="Arial" w:hAnsi="Arial" w:cs="Arial"/>
              </w:rPr>
              <w:t>2000</w:t>
            </w:r>
          </w:p>
        </w:tc>
        <w:tc>
          <w:tcPr>
            <w:tcW w:w="895"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13.56%</w:t>
            </w:r>
          </w:p>
        </w:tc>
        <w:tc>
          <w:tcPr>
            <w:tcW w:w="976"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1.28%</w:t>
            </w:r>
          </w:p>
        </w:tc>
        <w:tc>
          <w:tcPr>
            <w:tcW w:w="1095"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10.59</w:t>
            </w:r>
          </w:p>
        </w:tc>
        <w:tc>
          <w:tcPr>
            <w:tcW w:w="1095"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9.44%</w:t>
            </w:r>
          </w:p>
        </w:tc>
        <w:tc>
          <w:tcPr>
            <w:tcW w:w="380" w:type="dxa"/>
            <w:tcBorders>
              <w:top w:val="nil"/>
              <w:left w:val="nil"/>
              <w:bottom w:val="nil"/>
              <w:right w:val="nil"/>
            </w:tcBorders>
            <w:noWrap/>
            <w:vAlign w:val="bottom"/>
          </w:tcPr>
          <w:p w:rsidR="00014C98" w:rsidRDefault="00014C98">
            <w:pPr>
              <w:rPr>
                <w:rFonts w:ascii="Arial" w:hAnsi="Arial" w:cs="Arial"/>
              </w:rPr>
            </w:pPr>
          </w:p>
        </w:tc>
        <w:tc>
          <w:tcPr>
            <w:tcW w:w="895"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14.42%</w:t>
            </w:r>
          </w:p>
        </w:tc>
        <w:tc>
          <w:tcPr>
            <w:tcW w:w="784"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1.16%</w:t>
            </w:r>
          </w:p>
        </w:tc>
        <w:tc>
          <w:tcPr>
            <w:tcW w:w="1112"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12.43</w:t>
            </w:r>
          </w:p>
        </w:tc>
        <w:tc>
          <w:tcPr>
            <w:tcW w:w="1112"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8.04%</w:t>
            </w:r>
          </w:p>
        </w:tc>
      </w:tr>
      <w:tr w:rsidR="00014C98" w:rsidTr="0015236A">
        <w:trPr>
          <w:trHeight w:val="255"/>
        </w:trPr>
        <w:tc>
          <w:tcPr>
            <w:tcW w:w="661" w:type="dxa"/>
            <w:tcBorders>
              <w:top w:val="nil"/>
              <w:left w:val="nil"/>
              <w:bottom w:val="nil"/>
              <w:right w:val="nil"/>
            </w:tcBorders>
            <w:noWrap/>
            <w:vAlign w:val="bottom"/>
          </w:tcPr>
          <w:p w:rsidR="00014C98" w:rsidRDefault="00014C98">
            <w:pPr>
              <w:rPr>
                <w:rFonts w:ascii="Arial" w:hAnsi="Arial" w:cs="Arial"/>
              </w:rPr>
            </w:pPr>
            <w:r>
              <w:rPr>
                <w:rFonts w:ascii="Arial" w:hAnsi="Arial" w:cs="Arial"/>
              </w:rPr>
              <w:t>2001</w:t>
            </w:r>
          </w:p>
        </w:tc>
        <w:tc>
          <w:tcPr>
            <w:tcW w:w="895"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12.24%</w:t>
            </w:r>
          </w:p>
        </w:tc>
        <w:tc>
          <w:tcPr>
            <w:tcW w:w="976"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1.20%</w:t>
            </w:r>
          </w:p>
        </w:tc>
        <w:tc>
          <w:tcPr>
            <w:tcW w:w="1095"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10.20</w:t>
            </w:r>
          </w:p>
        </w:tc>
        <w:tc>
          <w:tcPr>
            <w:tcW w:w="1095"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9.80%</w:t>
            </w:r>
          </w:p>
        </w:tc>
        <w:tc>
          <w:tcPr>
            <w:tcW w:w="380" w:type="dxa"/>
            <w:tcBorders>
              <w:top w:val="nil"/>
              <w:left w:val="nil"/>
              <w:bottom w:val="nil"/>
              <w:right w:val="nil"/>
            </w:tcBorders>
            <w:noWrap/>
            <w:vAlign w:val="bottom"/>
          </w:tcPr>
          <w:p w:rsidR="00014C98" w:rsidRDefault="00014C98">
            <w:pPr>
              <w:rPr>
                <w:rFonts w:ascii="Arial" w:hAnsi="Arial" w:cs="Arial"/>
              </w:rPr>
            </w:pPr>
          </w:p>
        </w:tc>
        <w:tc>
          <w:tcPr>
            <w:tcW w:w="895"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13.43%</w:t>
            </w:r>
          </w:p>
        </w:tc>
        <w:tc>
          <w:tcPr>
            <w:tcW w:w="784"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1.13%</w:t>
            </w:r>
          </w:p>
        </w:tc>
        <w:tc>
          <w:tcPr>
            <w:tcW w:w="1112"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11.88</w:t>
            </w:r>
          </w:p>
        </w:tc>
        <w:tc>
          <w:tcPr>
            <w:tcW w:w="1112" w:type="dxa"/>
            <w:tcBorders>
              <w:top w:val="nil"/>
              <w:left w:val="nil"/>
              <w:bottom w:val="nil"/>
              <w:right w:val="nil"/>
            </w:tcBorders>
            <w:noWrap/>
            <w:vAlign w:val="bottom"/>
          </w:tcPr>
          <w:p w:rsidR="00014C98" w:rsidRDefault="00014C98">
            <w:pPr>
              <w:jc w:val="center"/>
              <w:rPr>
                <w:rFonts w:ascii="Arial" w:hAnsi="Arial" w:cs="Arial"/>
              </w:rPr>
            </w:pPr>
            <w:r>
              <w:rPr>
                <w:rFonts w:ascii="Arial" w:hAnsi="Arial" w:cs="Arial"/>
              </w:rPr>
              <w:t>8.41%</w:t>
            </w:r>
          </w:p>
        </w:tc>
      </w:tr>
      <w:tr w:rsidR="00BC09B7" w:rsidTr="0015236A">
        <w:trPr>
          <w:trHeight w:val="255"/>
        </w:trPr>
        <w:tc>
          <w:tcPr>
            <w:tcW w:w="661" w:type="dxa"/>
            <w:tcBorders>
              <w:top w:val="nil"/>
              <w:left w:val="nil"/>
              <w:bottom w:val="nil"/>
              <w:right w:val="nil"/>
            </w:tcBorders>
            <w:noWrap/>
            <w:vAlign w:val="bottom"/>
          </w:tcPr>
          <w:p w:rsidR="00BC09B7" w:rsidRDefault="00BC09B7" w:rsidP="00BB5FF0">
            <w:pPr>
              <w:rPr>
                <w:rFonts w:ascii="Arial" w:hAnsi="Arial" w:cs="Arial"/>
              </w:rPr>
            </w:pPr>
            <w:r>
              <w:rPr>
                <w:rFonts w:ascii="Arial" w:hAnsi="Arial" w:cs="Arial"/>
              </w:rPr>
              <w:t>2003</w:t>
            </w:r>
          </w:p>
        </w:tc>
        <w:tc>
          <w:tcPr>
            <w:tcW w:w="895" w:type="dxa"/>
            <w:tcBorders>
              <w:top w:val="nil"/>
              <w:left w:val="nil"/>
              <w:bottom w:val="nil"/>
              <w:right w:val="nil"/>
            </w:tcBorders>
            <w:noWrap/>
            <w:vAlign w:val="bottom"/>
          </w:tcPr>
          <w:p w:rsidR="00BC09B7" w:rsidRDefault="00BC09B7" w:rsidP="00BB5FF0">
            <w:pPr>
              <w:jc w:val="center"/>
              <w:rPr>
                <w:rFonts w:ascii="Arial" w:hAnsi="Arial" w:cs="Arial"/>
              </w:rPr>
            </w:pPr>
            <w:r>
              <w:rPr>
                <w:rFonts w:ascii="Arial" w:hAnsi="Arial" w:cs="Arial"/>
              </w:rPr>
              <w:t>12.80%</w:t>
            </w:r>
          </w:p>
        </w:tc>
        <w:tc>
          <w:tcPr>
            <w:tcW w:w="976" w:type="dxa"/>
            <w:tcBorders>
              <w:top w:val="nil"/>
              <w:left w:val="nil"/>
              <w:bottom w:val="nil"/>
              <w:right w:val="nil"/>
            </w:tcBorders>
            <w:noWrap/>
            <w:vAlign w:val="bottom"/>
          </w:tcPr>
          <w:p w:rsidR="00BC09B7" w:rsidRDefault="00BC09B7" w:rsidP="00BB5FF0">
            <w:pPr>
              <w:jc w:val="center"/>
              <w:rPr>
                <w:rFonts w:ascii="Arial" w:hAnsi="Arial" w:cs="Arial"/>
              </w:rPr>
            </w:pPr>
            <w:r>
              <w:rPr>
                <w:rFonts w:ascii="Arial" w:hAnsi="Arial" w:cs="Arial"/>
              </w:rPr>
              <w:t>1.27%</w:t>
            </w:r>
          </w:p>
        </w:tc>
        <w:tc>
          <w:tcPr>
            <w:tcW w:w="1095" w:type="dxa"/>
            <w:tcBorders>
              <w:top w:val="nil"/>
              <w:left w:val="nil"/>
              <w:bottom w:val="nil"/>
              <w:right w:val="nil"/>
            </w:tcBorders>
            <w:noWrap/>
            <w:vAlign w:val="bottom"/>
          </w:tcPr>
          <w:p w:rsidR="00BC09B7" w:rsidRDefault="00BC09B7" w:rsidP="00BB5FF0">
            <w:pPr>
              <w:jc w:val="center"/>
              <w:rPr>
                <w:rFonts w:ascii="Arial" w:hAnsi="Arial" w:cs="Arial"/>
              </w:rPr>
            </w:pPr>
            <w:r>
              <w:rPr>
                <w:rFonts w:ascii="Arial" w:hAnsi="Arial" w:cs="Arial"/>
              </w:rPr>
              <w:t>10.08</w:t>
            </w:r>
          </w:p>
        </w:tc>
        <w:tc>
          <w:tcPr>
            <w:tcW w:w="1095" w:type="dxa"/>
            <w:tcBorders>
              <w:top w:val="nil"/>
              <w:left w:val="nil"/>
              <w:bottom w:val="nil"/>
              <w:right w:val="nil"/>
            </w:tcBorders>
            <w:noWrap/>
            <w:vAlign w:val="bottom"/>
          </w:tcPr>
          <w:p w:rsidR="00BC09B7" w:rsidRDefault="00BC09B7" w:rsidP="00BB5FF0">
            <w:pPr>
              <w:jc w:val="center"/>
              <w:rPr>
                <w:rFonts w:ascii="Arial" w:hAnsi="Arial" w:cs="Arial"/>
              </w:rPr>
            </w:pPr>
            <w:r>
              <w:rPr>
                <w:rFonts w:ascii="Arial" w:hAnsi="Arial" w:cs="Arial"/>
              </w:rPr>
              <w:t>9.92%</w:t>
            </w:r>
          </w:p>
        </w:tc>
        <w:tc>
          <w:tcPr>
            <w:tcW w:w="380" w:type="dxa"/>
            <w:tcBorders>
              <w:top w:val="nil"/>
              <w:left w:val="nil"/>
              <w:bottom w:val="nil"/>
              <w:right w:val="nil"/>
            </w:tcBorders>
            <w:noWrap/>
            <w:vAlign w:val="bottom"/>
          </w:tcPr>
          <w:p w:rsidR="00BC09B7" w:rsidRDefault="00BC09B7" w:rsidP="00BB5FF0">
            <w:pPr>
              <w:rPr>
                <w:rFonts w:ascii="Arial" w:hAnsi="Arial" w:cs="Arial"/>
              </w:rPr>
            </w:pPr>
          </w:p>
        </w:tc>
        <w:tc>
          <w:tcPr>
            <w:tcW w:w="895" w:type="dxa"/>
            <w:tcBorders>
              <w:top w:val="nil"/>
              <w:left w:val="nil"/>
              <w:bottom w:val="nil"/>
              <w:right w:val="nil"/>
            </w:tcBorders>
            <w:noWrap/>
            <w:vAlign w:val="bottom"/>
          </w:tcPr>
          <w:p w:rsidR="00BC09B7" w:rsidRDefault="00BC09B7" w:rsidP="00BB5FF0">
            <w:pPr>
              <w:jc w:val="center"/>
              <w:rPr>
                <w:rFonts w:ascii="Arial" w:hAnsi="Arial" w:cs="Arial"/>
              </w:rPr>
            </w:pPr>
            <w:r>
              <w:rPr>
                <w:rFonts w:ascii="Arial" w:hAnsi="Arial" w:cs="Arial"/>
              </w:rPr>
              <w:t>16.3</w:t>
            </w:r>
            <w:r w:rsidR="003824B5">
              <w:rPr>
                <w:rFonts w:ascii="Arial" w:hAnsi="Arial" w:cs="Arial"/>
              </w:rPr>
              <w:t>7</w:t>
            </w:r>
            <w:r>
              <w:rPr>
                <w:rFonts w:ascii="Arial" w:hAnsi="Arial" w:cs="Arial"/>
              </w:rPr>
              <w:t>%</w:t>
            </w:r>
          </w:p>
        </w:tc>
        <w:tc>
          <w:tcPr>
            <w:tcW w:w="784" w:type="dxa"/>
            <w:tcBorders>
              <w:top w:val="nil"/>
              <w:left w:val="nil"/>
              <w:bottom w:val="nil"/>
              <w:right w:val="nil"/>
            </w:tcBorders>
            <w:noWrap/>
            <w:vAlign w:val="bottom"/>
          </w:tcPr>
          <w:p w:rsidR="00BC09B7" w:rsidRDefault="00BC09B7" w:rsidP="00BB5FF0">
            <w:pPr>
              <w:jc w:val="center"/>
              <w:rPr>
                <w:rFonts w:ascii="Arial" w:hAnsi="Arial" w:cs="Arial"/>
              </w:rPr>
            </w:pPr>
            <w:r>
              <w:rPr>
                <w:rFonts w:ascii="Arial" w:hAnsi="Arial" w:cs="Arial"/>
              </w:rPr>
              <w:t>1.42%</w:t>
            </w:r>
          </w:p>
        </w:tc>
        <w:tc>
          <w:tcPr>
            <w:tcW w:w="1112" w:type="dxa"/>
            <w:tcBorders>
              <w:top w:val="nil"/>
              <w:left w:val="nil"/>
              <w:bottom w:val="nil"/>
              <w:right w:val="nil"/>
            </w:tcBorders>
            <w:noWrap/>
            <w:vAlign w:val="bottom"/>
          </w:tcPr>
          <w:p w:rsidR="00BC09B7" w:rsidRDefault="00BC09B7" w:rsidP="00B36BD1">
            <w:pPr>
              <w:jc w:val="center"/>
              <w:rPr>
                <w:rFonts w:ascii="Arial" w:hAnsi="Arial" w:cs="Arial"/>
              </w:rPr>
            </w:pPr>
            <w:r>
              <w:rPr>
                <w:rFonts w:ascii="Arial" w:hAnsi="Arial" w:cs="Arial"/>
              </w:rPr>
              <w:t>11.</w:t>
            </w:r>
            <w:r w:rsidR="00B36BD1">
              <w:rPr>
                <w:rFonts w:ascii="Arial" w:hAnsi="Arial" w:cs="Arial"/>
              </w:rPr>
              <w:t>53</w:t>
            </w:r>
          </w:p>
        </w:tc>
        <w:tc>
          <w:tcPr>
            <w:tcW w:w="1112" w:type="dxa"/>
            <w:tcBorders>
              <w:top w:val="nil"/>
              <w:left w:val="nil"/>
              <w:bottom w:val="nil"/>
              <w:right w:val="nil"/>
            </w:tcBorders>
            <w:noWrap/>
            <w:vAlign w:val="bottom"/>
          </w:tcPr>
          <w:p w:rsidR="00BC09B7" w:rsidRDefault="00BC09B7" w:rsidP="00B36BD1">
            <w:pPr>
              <w:jc w:val="center"/>
              <w:rPr>
                <w:rFonts w:ascii="Arial" w:hAnsi="Arial" w:cs="Arial"/>
              </w:rPr>
            </w:pPr>
            <w:r>
              <w:rPr>
                <w:rFonts w:ascii="Arial" w:hAnsi="Arial" w:cs="Arial"/>
              </w:rPr>
              <w:t>8.</w:t>
            </w:r>
            <w:r w:rsidR="00B36BD1">
              <w:rPr>
                <w:rFonts w:ascii="Arial" w:hAnsi="Arial" w:cs="Arial"/>
              </w:rPr>
              <w:t>6</w:t>
            </w:r>
            <w:r>
              <w:rPr>
                <w:rFonts w:ascii="Arial" w:hAnsi="Arial" w:cs="Arial"/>
              </w:rPr>
              <w:t>7%</w:t>
            </w:r>
          </w:p>
        </w:tc>
      </w:tr>
      <w:tr w:rsidR="00014C98" w:rsidTr="0015236A">
        <w:trPr>
          <w:trHeight w:val="255"/>
        </w:trPr>
        <w:tc>
          <w:tcPr>
            <w:tcW w:w="661" w:type="dxa"/>
            <w:tcBorders>
              <w:top w:val="nil"/>
              <w:left w:val="nil"/>
              <w:bottom w:val="nil"/>
              <w:right w:val="nil"/>
            </w:tcBorders>
            <w:noWrap/>
            <w:vAlign w:val="bottom"/>
          </w:tcPr>
          <w:p w:rsidR="00014C98" w:rsidRDefault="00BC09B7">
            <w:pPr>
              <w:rPr>
                <w:rFonts w:ascii="Arial" w:hAnsi="Arial" w:cs="Arial"/>
              </w:rPr>
            </w:pPr>
            <w:r>
              <w:rPr>
                <w:rFonts w:ascii="Arial" w:hAnsi="Arial" w:cs="Arial"/>
              </w:rPr>
              <w:t>2006</w:t>
            </w:r>
          </w:p>
        </w:tc>
        <w:tc>
          <w:tcPr>
            <w:tcW w:w="895" w:type="dxa"/>
            <w:tcBorders>
              <w:top w:val="nil"/>
              <w:left w:val="nil"/>
              <w:bottom w:val="nil"/>
              <w:right w:val="nil"/>
            </w:tcBorders>
            <w:noWrap/>
            <w:vAlign w:val="bottom"/>
          </w:tcPr>
          <w:p w:rsidR="00014C98" w:rsidRDefault="00BC09B7" w:rsidP="00AB4A66">
            <w:pPr>
              <w:jc w:val="center"/>
              <w:rPr>
                <w:rFonts w:ascii="Arial" w:hAnsi="Arial" w:cs="Arial"/>
              </w:rPr>
            </w:pPr>
            <w:r>
              <w:rPr>
                <w:rFonts w:ascii="Arial" w:hAnsi="Arial" w:cs="Arial"/>
              </w:rPr>
              <w:t>12.</w:t>
            </w:r>
            <w:r w:rsidR="00AB4A66">
              <w:rPr>
                <w:rFonts w:ascii="Arial" w:hAnsi="Arial" w:cs="Arial"/>
              </w:rPr>
              <w:t>2</w:t>
            </w:r>
            <w:r w:rsidR="00014C98">
              <w:rPr>
                <w:rFonts w:ascii="Arial" w:hAnsi="Arial" w:cs="Arial"/>
              </w:rPr>
              <w:t>0%</w:t>
            </w:r>
          </w:p>
        </w:tc>
        <w:tc>
          <w:tcPr>
            <w:tcW w:w="976" w:type="dxa"/>
            <w:tcBorders>
              <w:top w:val="nil"/>
              <w:left w:val="nil"/>
              <w:bottom w:val="nil"/>
              <w:right w:val="nil"/>
            </w:tcBorders>
            <w:noWrap/>
            <w:vAlign w:val="bottom"/>
          </w:tcPr>
          <w:p w:rsidR="00014C98" w:rsidRDefault="00BC09B7" w:rsidP="00AB4A66">
            <w:pPr>
              <w:jc w:val="center"/>
              <w:rPr>
                <w:rFonts w:ascii="Arial" w:hAnsi="Arial" w:cs="Arial"/>
              </w:rPr>
            </w:pPr>
            <w:r>
              <w:rPr>
                <w:rFonts w:ascii="Arial" w:hAnsi="Arial" w:cs="Arial"/>
              </w:rPr>
              <w:t>1.2</w:t>
            </w:r>
            <w:r w:rsidR="00AB4A66">
              <w:rPr>
                <w:rFonts w:ascii="Arial" w:hAnsi="Arial" w:cs="Arial"/>
              </w:rPr>
              <w:t>4</w:t>
            </w:r>
            <w:r w:rsidR="00014C98">
              <w:rPr>
                <w:rFonts w:ascii="Arial" w:hAnsi="Arial" w:cs="Arial"/>
              </w:rPr>
              <w:t>%</w:t>
            </w:r>
          </w:p>
        </w:tc>
        <w:tc>
          <w:tcPr>
            <w:tcW w:w="1095" w:type="dxa"/>
            <w:tcBorders>
              <w:top w:val="nil"/>
              <w:left w:val="nil"/>
              <w:bottom w:val="nil"/>
              <w:right w:val="nil"/>
            </w:tcBorders>
            <w:noWrap/>
            <w:vAlign w:val="bottom"/>
          </w:tcPr>
          <w:p w:rsidR="00014C98" w:rsidRDefault="00BC09B7">
            <w:pPr>
              <w:jc w:val="center"/>
              <w:rPr>
                <w:rFonts w:ascii="Arial" w:hAnsi="Arial" w:cs="Arial"/>
              </w:rPr>
            </w:pPr>
            <w:r>
              <w:rPr>
                <w:rFonts w:ascii="Arial" w:hAnsi="Arial" w:cs="Arial"/>
              </w:rPr>
              <w:t>9.</w:t>
            </w:r>
            <w:r w:rsidR="00014C98">
              <w:rPr>
                <w:rFonts w:ascii="Arial" w:hAnsi="Arial" w:cs="Arial"/>
              </w:rPr>
              <w:t>8</w:t>
            </w:r>
            <w:r>
              <w:rPr>
                <w:rFonts w:ascii="Arial" w:hAnsi="Arial" w:cs="Arial"/>
              </w:rPr>
              <w:t>4</w:t>
            </w:r>
          </w:p>
        </w:tc>
        <w:tc>
          <w:tcPr>
            <w:tcW w:w="1095" w:type="dxa"/>
            <w:tcBorders>
              <w:top w:val="nil"/>
              <w:left w:val="nil"/>
              <w:bottom w:val="nil"/>
              <w:right w:val="nil"/>
            </w:tcBorders>
            <w:noWrap/>
            <w:vAlign w:val="bottom"/>
          </w:tcPr>
          <w:p w:rsidR="00014C98" w:rsidRDefault="00BC09B7">
            <w:pPr>
              <w:jc w:val="center"/>
              <w:rPr>
                <w:rFonts w:ascii="Arial" w:hAnsi="Arial" w:cs="Arial"/>
              </w:rPr>
            </w:pPr>
            <w:r>
              <w:rPr>
                <w:rFonts w:ascii="Arial" w:hAnsi="Arial" w:cs="Arial"/>
              </w:rPr>
              <w:t>10.16</w:t>
            </w:r>
            <w:r w:rsidR="00014C98">
              <w:rPr>
                <w:rFonts w:ascii="Arial" w:hAnsi="Arial" w:cs="Arial"/>
              </w:rPr>
              <w:t>%</w:t>
            </w:r>
          </w:p>
        </w:tc>
        <w:tc>
          <w:tcPr>
            <w:tcW w:w="380" w:type="dxa"/>
            <w:tcBorders>
              <w:top w:val="nil"/>
              <w:left w:val="nil"/>
              <w:bottom w:val="nil"/>
              <w:right w:val="nil"/>
            </w:tcBorders>
            <w:noWrap/>
            <w:vAlign w:val="bottom"/>
          </w:tcPr>
          <w:p w:rsidR="00014C98" w:rsidRDefault="00014C98">
            <w:pPr>
              <w:rPr>
                <w:rFonts w:ascii="Arial" w:hAnsi="Arial" w:cs="Arial"/>
              </w:rPr>
            </w:pPr>
          </w:p>
        </w:tc>
        <w:tc>
          <w:tcPr>
            <w:tcW w:w="895" w:type="dxa"/>
            <w:tcBorders>
              <w:top w:val="nil"/>
              <w:left w:val="nil"/>
              <w:bottom w:val="nil"/>
              <w:right w:val="nil"/>
            </w:tcBorders>
            <w:noWrap/>
            <w:vAlign w:val="bottom"/>
          </w:tcPr>
          <w:p w:rsidR="00014C98" w:rsidRDefault="00014C98" w:rsidP="00AB4A66">
            <w:pPr>
              <w:jc w:val="center"/>
              <w:rPr>
                <w:rFonts w:ascii="Arial" w:hAnsi="Arial" w:cs="Arial"/>
              </w:rPr>
            </w:pPr>
            <w:r>
              <w:rPr>
                <w:rFonts w:ascii="Arial" w:hAnsi="Arial" w:cs="Arial"/>
              </w:rPr>
              <w:t>1</w:t>
            </w:r>
            <w:r w:rsidR="003824B5">
              <w:rPr>
                <w:rFonts w:ascii="Arial" w:hAnsi="Arial" w:cs="Arial"/>
              </w:rPr>
              <w:t>3</w:t>
            </w:r>
            <w:r>
              <w:rPr>
                <w:rFonts w:ascii="Arial" w:hAnsi="Arial" w:cs="Arial"/>
              </w:rPr>
              <w:t>.</w:t>
            </w:r>
            <w:r w:rsidR="003824B5">
              <w:rPr>
                <w:rFonts w:ascii="Arial" w:hAnsi="Arial" w:cs="Arial"/>
              </w:rPr>
              <w:t>4</w:t>
            </w:r>
            <w:r w:rsidR="00AB4A66">
              <w:rPr>
                <w:rFonts w:ascii="Arial" w:hAnsi="Arial" w:cs="Arial"/>
              </w:rPr>
              <w:t>0</w:t>
            </w:r>
            <w:r>
              <w:rPr>
                <w:rFonts w:ascii="Arial" w:hAnsi="Arial" w:cs="Arial"/>
              </w:rPr>
              <w:t>%</w:t>
            </w:r>
          </w:p>
        </w:tc>
        <w:tc>
          <w:tcPr>
            <w:tcW w:w="784" w:type="dxa"/>
            <w:tcBorders>
              <w:top w:val="nil"/>
              <w:left w:val="nil"/>
              <w:bottom w:val="nil"/>
              <w:right w:val="nil"/>
            </w:tcBorders>
            <w:noWrap/>
            <w:vAlign w:val="bottom"/>
          </w:tcPr>
          <w:p w:rsidR="00014C98" w:rsidRDefault="003824B5" w:rsidP="00AB4A66">
            <w:pPr>
              <w:jc w:val="center"/>
              <w:rPr>
                <w:rFonts w:ascii="Arial" w:hAnsi="Arial" w:cs="Arial"/>
              </w:rPr>
            </w:pPr>
            <w:r>
              <w:rPr>
                <w:rFonts w:ascii="Arial" w:hAnsi="Arial" w:cs="Arial"/>
              </w:rPr>
              <w:t>1.3</w:t>
            </w:r>
            <w:r w:rsidR="00AB4A66">
              <w:rPr>
                <w:rFonts w:ascii="Arial" w:hAnsi="Arial" w:cs="Arial"/>
              </w:rPr>
              <w:t>5</w:t>
            </w:r>
            <w:r w:rsidR="00014C98">
              <w:rPr>
                <w:rFonts w:ascii="Arial" w:hAnsi="Arial" w:cs="Arial"/>
              </w:rPr>
              <w:t>%</w:t>
            </w:r>
          </w:p>
        </w:tc>
        <w:tc>
          <w:tcPr>
            <w:tcW w:w="1112" w:type="dxa"/>
            <w:tcBorders>
              <w:top w:val="nil"/>
              <w:left w:val="nil"/>
              <w:bottom w:val="nil"/>
              <w:right w:val="nil"/>
            </w:tcBorders>
            <w:noWrap/>
            <w:vAlign w:val="bottom"/>
          </w:tcPr>
          <w:p w:rsidR="00014C98" w:rsidRDefault="003824B5" w:rsidP="00AB4A66">
            <w:pPr>
              <w:jc w:val="center"/>
              <w:rPr>
                <w:rFonts w:ascii="Arial" w:hAnsi="Arial" w:cs="Arial"/>
              </w:rPr>
            </w:pPr>
            <w:r>
              <w:rPr>
                <w:rFonts w:ascii="Arial" w:hAnsi="Arial" w:cs="Arial"/>
              </w:rPr>
              <w:t>9.9</w:t>
            </w:r>
            <w:r w:rsidR="00AB4A66">
              <w:rPr>
                <w:rFonts w:ascii="Arial" w:hAnsi="Arial" w:cs="Arial"/>
              </w:rPr>
              <w:t>3</w:t>
            </w:r>
          </w:p>
        </w:tc>
        <w:tc>
          <w:tcPr>
            <w:tcW w:w="1112" w:type="dxa"/>
            <w:tcBorders>
              <w:top w:val="nil"/>
              <w:left w:val="nil"/>
              <w:bottom w:val="nil"/>
              <w:right w:val="nil"/>
            </w:tcBorders>
            <w:noWrap/>
            <w:vAlign w:val="bottom"/>
          </w:tcPr>
          <w:p w:rsidR="00014C98" w:rsidRDefault="003824B5" w:rsidP="00AB4A66">
            <w:pPr>
              <w:jc w:val="center"/>
              <w:rPr>
                <w:rFonts w:ascii="Arial" w:hAnsi="Arial" w:cs="Arial"/>
              </w:rPr>
            </w:pPr>
            <w:r>
              <w:rPr>
                <w:rFonts w:ascii="Arial" w:hAnsi="Arial" w:cs="Arial"/>
              </w:rPr>
              <w:t>10.0</w:t>
            </w:r>
            <w:r w:rsidR="00AB4A66">
              <w:rPr>
                <w:rFonts w:ascii="Arial" w:hAnsi="Arial" w:cs="Arial"/>
              </w:rPr>
              <w:t>7</w:t>
            </w:r>
            <w:r>
              <w:rPr>
                <w:rFonts w:ascii="Arial" w:hAnsi="Arial" w:cs="Arial"/>
              </w:rPr>
              <w:t>%</w:t>
            </w:r>
          </w:p>
        </w:tc>
      </w:tr>
      <w:tr w:rsidR="00AB4A66" w:rsidTr="0015236A">
        <w:trPr>
          <w:trHeight w:val="255"/>
        </w:trPr>
        <w:tc>
          <w:tcPr>
            <w:tcW w:w="661" w:type="dxa"/>
            <w:tcBorders>
              <w:top w:val="nil"/>
              <w:left w:val="nil"/>
              <w:bottom w:val="nil"/>
              <w:right w:val="nil"/>
            </w:tcBorders>
            <w:noWrap/>
            <w:vAlign w:val="bottom"/>
          </w:tcPr>
          <w:p w:rsidR="00AB4A66" w:rsidRDefault="00AB4A66">
            <w:pPr>
              <w:rPr>
                <w:rFonts w:ascii="Arial" w:hAnsi="Arial" w:cs="Arial"/>
              </w:rPr>
            </w:pPr>
            <w:r>
              <w:rPr>
                <w:rFonts w:ascii="Arial" w:hAnsi="Arial" w:cs="Arial"/>
              </w:rPr>
              <w:t>2007</w:t>
            </w:r>
          </w:p>
        </w:tc>
        <w:tc>
          <w:tcPr>
            <w:tcW w:w="895" w:type="dxa"/>
            <w:tcBorders>
              <w:top w:val="nil"/>
              <w:left w:val="nil"/>
              <w:bottom w:val="nil"/>
              <w:right w:val="nil"/>
            </w:tcBorders>
            <w:noWrap/>
            <w:vAlign w:val="bottom"/>
          </w:tcPr>
          <w:p w:rsidR="00AB4A66" w:rsidRDefault="00AB4A66">
            <w:pPr>
              <w:jc w:val="center"/>
              <w:rPr>
                <w:rFonts w:ascii="Arial" w:hAnsi="Arial" w:cs="Arial"/>
              </w:rPr>
            </w:pPr>
            <w:r>
              <w:rPr>
                <w:rFonts w:ascii="Arial" w:hAnsi="Arial" w:cs="Arial"/>
              </w:rPr>
              <w:t>10.34%</w:t>
            </w:r>
          </w:p>
        </w:tc>
        <w:tc>
          <w:tcPr>
            <w:tcW w:w="976" w:type="dxa"/>
            <w:tcBorders>
              <w:top w:val="nil"/>
              <w:left w:val="nil"/>
              <w:bottom w:val="nil"/>
              <w:right w:val="nil"/>
            </w:tcBorders>
            <w:noWrap/>
            <w:vAlign w:val="bottom"/>
          </w:tcPr>
          <w:p w:rsidR="00AB4A66" w:rsidRDefault="00AB4A66" w:rsidP="00AB4A66">
            <w:pPr>
              <w:jc w:val="center"/>
              <w:rPr>
                <w:rFonts w:ascii="Arial" w:hAnsi="Arial" w:cs="Arial"/>
              </w:rPr>
            </w:pPr>
            <w:r>
              <w:rPr>
                <w:rFonts w:ascii="Arial" w:hAnsi="Arial" w:cs="Arial"/>
              </w:rPr>
              <w:t>1.06%</w:t>
            </w:r>
          </w:p>
        </w:tc>
        <w:tc>
          <w:tcPr>
            <w:tcW w:w="1095" w:type="dxa"/>
            <w:tcBorders>
              <w:top w:val="nil"/>
              <w:left w:val="nil"/>
              <w:bottom w:val="nil"/>
              <w:right w:val="nil"/>
            </w:tcBorders>
            <w:noWrap/>
            <w:vAlign w:val="bottom"/>
          </w:tcPr>
          <w:p w:rsidR="00AB4A66" w:rsidRDefault="00AB4A66">
            <w:pPr>
              <w:jc w:val="center"/>
              <w:rPr>
                <w:rFonts w:ascii="Arial" w:hAnsi="Arial" w:cs="Arial"/>
              </w:rPr>
            </w:pPr>
            <w:r>
              <w:rPr>
                <w:rFonts w:ascii="Arial" w:hAnsi="Arial" w:cs="Arial"/>
              </w:rPr>
              <w:t>9.75</w:t>
            </w:r>
          </w:p>
        </w:tc>
        <w:tc>
          <w:tcPr>
            <w:tcW w:w="1095" w:type="dxa"/>
            <w:tcBorders>
              <w:top w:val="nil"/>
              <w:left w:val="nil"/>
              <w:bottom w:val="nil"/>
              <w:right w:val="nil"/>
            </w:tcBorders>
            <w:noWrap/>
            <w:vAlign w:val="bottom"/>
          </w:tcPr>
          <w:p w:rsidR="00AB4A66" w:rsidRDefault="00AB4A66">
            <w:pPr>
              <w:jc w:val="center"/>
              <w:rPr>
                <w:rFonts w:ascii="Arial" w:hAnsi="Arial" w:cs="Arial"/>
              </w:rPr>
            </w:pPr>
            <w:r>
              <w:rPr>
                <w:rFonts w:ascii="Arial" w:hAnsi="Arial" w:cs="Arial"/>
              </w:rPr>
              <w:t>10.25%</w:t>
            </w:r>
          </w:p>
        </w:tc>
        <w:tc>
          <w:tcPr>
            <w:tcW w:w="380" w:type="dxa"/>
            <w:tcBorders>
              <w:top w:val="nil"/>
              <w:left w:val="nil"/>
              <w:bottom w:val="nil"/>
              <w:right w:val="nil"/>
            </w:tcBorders>
            <w:noWrap/>
            <w:vAlign w:val="bottom"/>
          </w:tcPr>
          <w:p w:rsidR="00AB4A66" w:rsidRDefault="00AB4A66">
            <w:pPr>
              <w:rPr>
                <w:rFonts w:ascii="Arial" w:hAnsi="Arial" w:cs="Arial"/>
              </w:rPr>
            </w:pPr>
          </w:p>
        </w:tc>
        <w:tc>
          <w:tcPr>
            <w:tcW w:w="895" w:type="dxa"/>
            <w:tcBorders>
              <w:top w:val="nil"/>
              <w:left w:val="nil"/>
              <w:bottom w:val="nil"/>
              <w:right w:val="nil"/>
            </w:tcBorders>
            <w:noWrap/>
            <w:vAlign w:val="bottom"/>
          </w:tcPr>
          <w:p w:rsidR="00AB4A66" w:rsidRDefault="00AB4A66">
            <w:pPr>
              <w:jc w:val="center"/>
              <w:rPr>
                <w:rFonts w:ascii="Arial" w:hAnsi="Arial" w:cs="Arial"/>
              </w:rPr>
            </w:pPr>
            <w:r>
              <w:rPr>
                <w:rFonts w:ascii="Arial" w:hAnsi="Arial" w:cs="Arial"/>
              </w:rPr>
              <w:t>9.22%</w:t>
            </w:r>
          </w:p>
        </w:tc>
        <w:tc>
          <w:tcPr>
            <w:tcW w:w="784" w:type="dxa"/>
            <w:tcBorders>
              <w:top w:val="nil"/>
              <w:left w:val="nil"/>
              <w:bottom w:val="nil"/>
              <w:right w:val="nil"/>
            </w:tcBorders>
            <w:noWrap/>
            <w:vAlign w:val="bottom"/>
          </w:tcPr>
          <w:p w:rsidR="00AB4A66" w:rsidRDefault="00AB4A66">
            <w:pPr>
              <w:jc w:val="center"/>
              <w:rPr>
                <w:rFonts w:ascii="Arial" w:hAnsi="Arial" w:cs="Arial"/>
              </w:rPr>
            </w:pPr>
            <w:r>
              <w:rPr>
                <w:rFonts w:ascii="Arial" w:hAnsi="Arial" w:cs="Arial"/>
              </w:rPr>
              <w:t>0.92%</w:t>
            </w:r>
          </w:p>
        </w:tc>
        <w:tc>
          <w:tcPr>
            <w:tcW w:w="1112" w:type="dxa"/>
            <w:tcBorders>
              <w:top w:val="nil"/>
              <w:left w:val="nil"/>
              <w:bottom w:val="nil"/>
              <w:right w:val="nil"/>
            </w:tcBorders>
            <w:noWrap/>
            <w:vAlign w:val="bottom"/>
          </w:tcPr>
          <w:p w:rsidR="00AB4A66" w:rsidRDefault="00B36BD1">
            <w:pPr>
              <w:jc w:val="center"/>
              <w:rPr>
                <w:rFonts w:ascii="Arial" w:hAnsi="Arial" w:cs="Arial"/>
              </w:rPr>
            </w:pPr>
            <w:r>
              <w:rPr>
                <w:rFonts w:ascii="Arial" w:hAnsi="Arial" w:cs="Arial"/>
              </w:rPr>
              <w:t>10.02</w:t>
            </w:r>
          </w:p>
        </w:tc>
        <w:tc>
          <w:tcPr>
            <w:tcW w:w="1112" w:type="dxa"/>
            <w:tcBorders>
              <w:top w:val="nil"/>
              <w:left w:val="nil"/>
              <w:bottom w:val="nil"/>
              <w:right w:val="nil"/>
            </w:tcBorders>
            <w:noWrap/>
            <w:vAlign w:val="bottom"/>
          </w:tcPr>
          <w:p w:rsidR="00AB4A66" w:rsidRDefault="00B36BD1">
            <w:pPr>
              <w:jc w:val="center"/>
              <w:rPr>
                <w:rFonts w:ascii="Arial" w:hAnsi="Arial" w:cs="Arial"/>
              </w:rPr>
            </w:pPr>
            <w:r>
              <w:rPr>
                <w:rFonts w:ascii="Arial" w:hAnsi="Arial" w:cs="Arial"/>
              </w:rPr>
              <w:t>9.98%</w:t>
            </w:r>
          </w:p>
        </w:tc>
      </w:tr>
      <w:tr w:rsidR="00AB4A66" w:rsidTr="0015236A">
        <w:trPr>
          <w:trHeight w:val="255"/>
        </w:trPr>
        <w:tc>
          <w:tcPr>
            <w:tcW w:w="661" w:type="dxa"/>
            <w:tcBorders>
              <w:top w:val="nil"/>
              <w:left w:val="nil"/>
              <w:bottom w:val="nil"/>
              <w:right w:val="nil"/>
            </w:tcBorders>
            <w:noWrap/>
            <w:vAlign w:val="bottom"/>
          </w:tcPr>
          <w:p w:rsidR="00AB4A66" w:rsidRDefault="00AB4A66">
            <w:pPr>
              <w:rPr>
                <w:rFonts w:ascii="Arial" w:hAnsi="Arial" w:cs="Arial"/>
              </w:rPr>
            </w:pPr>
            <w:r>
              <w:rPr>
                <w:rFonts w:ascii="Arial" w:hAnsi="Arial" w:cs="Arial"/>
              </w:rPr>
              <w:t>2008</w:t>
            </w:r>
          </w:p>
        </w:tc>
        <w:tc>
          <w:tcPr>
            <w:tcW w:w="895" w:type="dxa"/>
            <w:tcBorders>
              <w:top w:val="nil"/>
              <w:left w:val="nil"/>
              <w:bottom w:val="nil"/>
              <w:right w:val="nil"/>
            </w:tcBorders>
            <w:noWrap/>
            <w:vAlign w:val="bottom"/>
          </w:tcPr>
          <w:p w:rsidR="00AB4A66" w:rsidRDefault="00AB4A66">
            <w:pPr>
              <w:jc w:val="center"/>
              <w:rPr>
                <w:rFonts w:ascii="Arial" w:hAnsi="Arial" w:cs="Arial"/>
              </w:rPr>
            </w:pPr>
            <w:r>
              <w:rPr>
                <w:rFonts w:ascii="Arial" w:hAnsi="Arial" w:cs="Arial"/>
              </w:rPr>
              <w:t>3.68%</w:t>
            </w:r>
          </w:p>
        </w:tc>
        <w:tc>
          <w:tcPr>
            <w:tcW w:w="976" w:type="dxa"/>
            <w:tcBorders>
              <w:top w:val="nil"/>
              <w:left w:val="nil"/>
              <w:bottom w:val="nil"/>
              <w:right w:val="nil"/>
            </w:tcBorders>
            <w:noWrap/>
            <w:vAlign w:val="bottom"/>
          </w:tcPr>
          <w:p w:rsidR="00AB4A66" w:rsidRDefault="00AB4A66">
            <w:pPr>
              <w:jc w:val="center"/>
              <w:rPr>
                <w:rFonts w:ascii="Arial" w:hAnsi="Arial" w:cs="Arial"/>
              </w:rPr>
            </w:pPr>
            <w:r>
              <w:rPr>
                <w:rFonts w:ascii="Arial" w:hAnsi="Arial" w:cs="Arial"/>
              </w:rPr>
              <w:t>0.38%</w:t>
            </w:r>
          </w:p>
        </w:tc>
        <w:tc>
          <w:tcPr>
            <w:tcW w:w="1095" w:type="dxa"/>
            <w:tcBorders>
              <w:top w:val="nil"/>
              <w:left w:val="nil"/>
              <w:bottom w:val="nil"/>
              <w:right w:val="nil"/>
            </w:tcBorders>
            <w:noWrap/>
            <w:vAlign w:val="bottom"/>
          </w:tcPr>
          <w:p w:rsidR="00AB4A66" w:rsidRDefault="00AB4A66">
            <w:pPr>
              <w:jc w:val="center"/>
              <w:rPr>
                <w:rFonts w:ascii="Arial" w:hAnsi="Arial" w:cs="Arial"/>
              </w:rPr>
            </w:pPr>
            <w:r>
              <w:rPr>
                <w:rFonts w:ascii="Arial" w:hAnsi="Arial" w:cs="Arial"/>
              </w:rPr>
              <w:t>9.68</w:t>
            </w:r>
          </w:p>
        </w:tc>
        <w:tc>
          <w:tcPr>
            <w:tcW w:w="1095" w:type="dxa"/>
            <w:tcBorders>
              <w:top w:val="nil"/>
              <w:left w:val="nil"/>
              <w:bottom w:val="nil"/>
              <w:right w:val="nil"/>
            </w:tcBorders>
            <w:noWrap/>
            <w:vAlign w:val="bottom"/>
          </w:tcPr>
          <w:p w:rsidR="00AB4A66" w:rsidRDefault="00AB4A66">
            <w:pPr>
              <w:jc w:val="center"/>
              <w:rPr>
                <w:rFonts w:ascii="Arial" w:hAnsi="Arial" w:cs="Arial"/>
              </w:rPr>
            </w:pPr>
            <w:r>
              <w:rPr>
                <w:rFonts w:ascii="Arial" w:hAnsi="Arial" w:cs="Arial"/>
              </w:rPr>
              <w:t>10.32%</w:t>
            </w:r>
          </w:p>
        </w:tc>
        <w:tc>
          <w:tcPr>
            <w:tcW w:w="380" w:type="dxa"/>
            <w:tcBorders>
              <w:top w:val="nil"/>
              <w:left w:val="nil"/>
              <w:bottom w:val="nil"/>
              <w:right w:val="nil"/>
            </w:tcBorders>
            <w:noWrap/>
            <w:vAlign w:val="bottom"/>
          </w:tcPr>
          <w:p w:rsidR="00AB4A66" w:rsidRDefault="00AB4A66">
            <w:pPr>
              <w:rPr>
                <w:rFonts w:ascii="Arial" w:hAnsi="Arial" w:cs="Arial"/>
              </w:rPr>
            </w:pPr>
          </w:p>
        </w:tc>
        <w:tc>
          <w:tcPr>
            <w:tcW w:w="895" w:type="dxa"/>
            <w:tcBorders>
              <w:top w:val="nil"/>
              <w:left w:val="nil"/>
              <w:bottom w:val="nil"/>
              <w:right w:val="nil"/>
            </w:tcBorders>
            <w:noWrap/>
            <w:vAlign w:val="bottom"/>
          </w:tcPr>
          <w:p w:rsidR="00AB4A66" w:rsidRDefault="00AB4A66">
            <w:pPr>
              <w:jc w:val="center"/>
              <w:rPr>
                <w:rFonts w:ascii="Arial" w:hAnsi="Arial" w:cs="Arial"/>
              </w:rPr>
            </w:pPr>
            <w:r>
              <w:rPr>
                <w:rFonts w:ascii="Arial" w:hAnsi="Arial" w:cs="Arial"/>
              </w:rPr>
              <w:t>1.70%</w:t>
            </w:r>
          </w:p>
        </w:tc>
        <w:tc>
          <w:tcPr>
            <w:tcW w:w="784" w:type="dxa"/>
            <w:tcBorders>
              <w:top w:val="nil"/>
              <w:left w:val="nil"/>
              <w:bottom w:val="nil"/>
              <w:right w:val="nil"/>
            </w:tcBorders>
            <w:noWrap/>
            <w:vAlign w:val="bottom"/>
          </w:tcPr>
          <w:p w:rsidR="00AB4A66" w:rsidRDefault="00AB4A66">
            <w:pPr>
              <w:jc w:val="center"/>
              <w:rPr>
                <w:rFonts w:ascii="Arial" w:hAnsi="Arial" w:cs="Arial"/>
              </w:rPr>
            </w:pPr>
            <w:r>
              <w:rPr>
                <w:rFonts w:ascii="Arial" w:hAnsi="Arial" w:cs="Arial"/>
              </w:rPr>
              <w:t>0.16%</w:t>
            </w:r>
          </w:p>
        </w:tc>
        <w:tc>
          <w:tcPr>
            <w:tcW w:w="1112" w:type="dxa"/>
            <w:tcBorders>
              <w:top w:val="nil"/>
              <w:left w:val="nil"/>
              <w:bottom w:val="nil"/>
              <w:right w:val="nil"/>
            </w:tcBorders>
            <w:noWrap/>
            <w:vAlign w:val="bottom"/>
          </w:tcPr>
          <w:p w:rsidR="00AB4A66" w:rsidRDefault="00B36BD1">
            <w:pPr>
              <w:jc w:val="center"/>
              <w:rPr>
                <w:rFonts w:ascii="Arial" w:hAnsi="Arial" w:cs="Arial"/>
              </w:rPr>
            </w:pPr>
            <w:r>
              <w:rPr>
                <w:rFonts w:ascii="Arial" w:hAnsi="Arial" w:cs="Arial"/>
              </w:rPr>
              <w:t>10.62</w:t>
            </w:r>
          </w:p>
        </w:tc>
        <w:tc>
          <w:tcPr>
            <w:tcW w:w="1112" w:type="dxa"/>
            <w:tcBorders>
              <w:top w:val="nil"/>
              <w:left w:val="nil"/>
              <w:bottom w:val="nil"/>
              <w:right w:val="nil"/>
            </w:tcBorders>
            <w:noWrap/>
            <w:vAlign w:val="bottom"/>
          </w:tcPr>
          <w:p w:rsidR="00AB4A66" w:rsidRDefault="00B36BD1">
            <w:pPr>
              <w:jc w:val="center"/>
              <w:rPr>
                <w:rFonts w:ascii="Arial" w:hAnsi="Arial" w:cs="Arial"/>
              </w:rPr>
            </w:pPr>
            <w:r>
              <w:rPr>
                <w:rFonts w:ascii="Arial" w:hAnsi="Arial" w:cs="Arial"/>
              </w:rPr>
              <w:t>9.41%</w:t>
            </w:r>
          </w:p>
        </w:tc>
      </w:tr>
      <w:tr w:rsidR="00AB4A66" w:rsidTr="0015236A">
        <w:trPr>
          <w:trHeight w:val="255"/>
        </w:trPr>
        <w:tc>
          <w:tcPr>
            <w:tcW w:w="661" w:type="dxa"/>
            <w:tcBorders>
              <w:top w:val="nil"/>
              <w:left w:val="nil"/>
              <w:bottom w:val="nil"/>
              <w:right w:val="nil"/>
            </w:tcBorders>
            <w:noWrap/>
            <w:vAlign w:val="bottom"/>
          </w:tcPr>
          <w:p w:rsidR="00AB4A66" w:rsidRDefault="00AB4A66">
            <w:pPr>
              <w:rPr>
                <w:rFonts w:ascii="Arial" w:hAnsi="Arial" w:cs="Arial"/>
              </w:rPr>
            </w:pPr>
            <w:r>
              <w:rPr>
                <w:rFonts w:ascii="Arial" w:hAnsi="Arial" w:cs="Arial"/>
              </w:rPr>
              <w:t>2009</w:t>
            </w:r>
          </w:p>
        </w:tc>
        <w:tc>
          <w:tcPr>
            <w:tcW w:w="895" w:type="dxa"/>
            <w:tcBorders>
              <w:top w:val="nil"/>
              <w:left w:val="nil"/>
              <w:bottom w:val="nil"/>
              <w:right w:val="nil"/>
            </w:tcBorders>
            <w:noWrap/>
            <w:vAlign w:val="bottom"/>
          </w:tcPr>
          <w:p w:rsidR="00AB4A66" w:rsidRDefault="0015236A">
            <w:pPr>
              <w:jc w:val="center"/>
              <w:rPr>
                <w:rFonts w:ascii="Arial" w:hAnsi="Arial" w:cs="Arial"/>
              </w:rPr>
            </w:pPr>
            <w:r>
              <w:rPr>
                <w:rFonts w:ascii="Arial" w:hAnsi="Arial" w:cs="Arial"/>
              </w:rPr>
              <w:t>-0.15</w:t>
            </w:r>
            <w:r w:rsidR="00AB4A66">
              <w:rPr>
                <w:rFonts w:ascii="Arial" w:hAnsi="Arial" w:cs="Arial"/>
              </w:rPr>
              <w:t>%</w:t>
            </w:r>
          </w:p>
        </w:tc>
        <w:tc>
          <w:tcPr>
            <w:tcW w:w="976" w:type="dxa"/>
            <w:tcBorders>
              <w:top w:val="nil"/>
              <w:left w:val="nil"/>
              <w:bottom w:val="nil"/>
              <w:right w:val="nil"/>
            </w:tcBorders>
            <w:noWrap/>
            <w:vAlign w:val="bottom"/>
          </w:tcPr>
          <w:p w:rsidR="00AB4A66" w:rsidRDefault="0015236A">
            <w:pPr>
              <w:jc w:val="center"/>
              <w:rPr>
                <w:rFonts w:ascii="Arial" w:hAnsi="Arial" w:cs="Arial"/>
              </w:rPr>
            </w:pPr>
            <w:r>
              <w:rPr>
                <w:rFonts w:ascii="Arial" w:hAnsi="Arial" w:cs="Arial"/>
              </w:rPr>
              <w:t>-0.01</w:t>
            </w:r>
            <w:r w:rsidR="00AB4A66">
              <w:rPr>
                <w:rFonts w:ascii="Arial" w:hAnsi="Arial" w:cs="Arial"/>
              </w:rPr>
              <w:t>%</w:t>
            </w:r>
          </w:p>
        </w:tc>
        <w:tc>
          <w:tcPr>
            <w:tcW w:w="1095" w:type="dxa"/>
            <w:tcBorders>
              <w:top w:val="nil"/>
              <w:left w:val="nil"/>
              <w:bottom w:val="nil"/>
              <w:right w:val="nil"/>
            </w:tcBorders>
            <w:noWrap/>
            <w:vAlign w:val="bottom"/>
          </w:tcPr>
          <w:p w:rsidR="00AB4A66" w:rsidRDefault="0015236A" w:rsidP="0015236A">
            <w:pPr>
              <w:jc w:val="center"/>
              <w:rPr>
                <w:rFonts w:ascii="Arial" w:hAnsi="Arial" w:cs="Arial"/>
              </w:rPr>
            </w:pPr>
            <w:r>
              <w:rPr>
                <w:rFonts w:ascii="Arial" w:hAnsi="Arial" w:cs="Arial"/>
              </w:rPr>
              <w:t>15</w:t>
            </w:r>
            <w:r w:rsidR="00AB4A66">
              <w:rPr>
                <w:rFonts w:ascii="Arial" w:hAnsi="Arial" w:cs="Arial"/>
              </w:rPr>
              <w:t>.</w:t>
            </w:r>
            <w:r>
              <w:rPr>
                <w:rFonts w:ascii="Arial" w:hAnsi="Arial" w:cs="Arial"/>
              </w:rPr>
              <w:t>00</w:t>
            </w:r>
          </w:p>
        </w:tc>
        <w:tc>
          <w:tcPr>
            <w:tcW w:w="1095" w:type="dxa"/>
            <w:tcBorders>
              <w:top w:val="nil"/>
              <w:left w:val="nil"/>
              <w:bottom w:val="nil"/>
              <w:right w:val="nil"/>
            </w:tcBorders>
            <w:noWrap/>
            <w:vAlign w:val="bottom"/>
          </w:tcPr>
          <w:p w:rsidR="00AB4A66" w:rsidRDefault="0015236A">
            <w:pPr>
              <w:jc w:val="center"/>
              <w:rPr>
                <w:rFonts w:ascii="Arial" w:hAnsi="Arial" w:cs="Arial"/>
              </w:rPr>
            </w:pPr>
            <w:r>
              <w:rPr>
                <w:rFonts w:ascii="Arial" w:hAnsi="Arial" w:cs="Arial"/>
              </w:rPr>
              <w:t>6.67</w:t>
            </w:r>
            <w:r w:rsidR="00AB4A66">
              <w:rPr>
                <w:rFonts w:ascii="Arial" w:hAnsi="Arial" w:cs="Arial"/>
              </w:rPr>
              <w:t>%</w:t>
            </w:r>
          </w:p>
        </w:tc>
        <w:tc>
          <w:tcPr>
            <w:tcW w:w="380" w:type="dxa"/>
            <w:tcBorders>
              <w:top w:val="nil"/>
              <w:left w:val="nil"/>
              <w:bottom w:val="nil"/>
              <w:right w:val="nil"/>
            </w:tcBorders>
            <w:noWrap/>
            <w:vAlign w:val="bottom"/>
          </w:tcPr>
          <w:p w:rsidR="00AB4A66" w:rsidRDefault="00AB4A66">
            <w:pPr>
              <w:rPr>
                <w:rFonts w:ascii="Arial" w:hAnsi="Arial" w:cs="Arial"/>
              </w:rPr>
            </w:pPr>
          </w:p>
        </w:tc>
        <w:tc>
          <w:tcPr>
            <w:tcW w:w="895" w:type="dxa"/>
            <w:tcBorders>
              <w:top w:val="nil"/>
              <w:left w:val="nil"/>
              <w:bottom w:val="nil"/>
              <w:right w:val="nil"/>
            </w:tcBorders>
            <w:noWrap/>
            <w:vAlign w:val="bottom"/>
          </w:tcPr>
          <w:p w:rsidR="00AB4A66" w:rsidRDefault="00AB4A66" w:rsidP="0015236A">
            <w:pPr>
              <w:jc w:val="center"/>
              <w:rPr>
                <w:rFonts w:ascii="Arial" w:hAnsi="Arial" w:cs="Arial"/>
              </w:rPr>
            </w:pPr>
            <w:r>
              <w:rPr>
                <w:rFonts w:ascii="Arial" w:hAnsi="Arial" w:cs="Arial"/>
              </w:rPr>
              <w:t>1.</w:t>
            </w:r>
            <w:r w:rsidR="0015236A">
              <w:rPr>
                <w:rFonts w:ascii="Arial" w:hAnsi="Arial" w:cs="Arial"/>
              </w:rPr>
              <w:t>44</w:t>
            </w:r>
            <w:r>
              <w:rPr>
                <w:rFonts w:ascii="Arial" w:hAnsi="Arial" w:cs="Arial"/>
              </w:rPr>
              <w:t>%</w:t>
            </w:r>
          </w:p>
        </w:tc>
        <w:tc>
          <w:tcPr>
            <w:tcW w:w="784" w:type="dxa"/>
            <w:tcBorders>
              <w:top w:val="nil"/>
              <w:left w:val="nil"/>
              <w:bottom w:val="nil"/>
              <w:right w:val="nil"/>
            </w:tcBorders>
            <w:noWrap/>
            <w:vAlign w:val="bottom"/>
          </w:tcPr>
          <w:p w:rsidR="00AB4A66" w:rsidRDefault="00AB4A66" w:rsidP="0015236A">
            <w:pPr>
              <w:jc w:val="center"/>
              <w:rPr>
                <w:rFonts w:ascii="Arial" w:hAnsi="Arial" w:cs="Arial"/>
              </w:rPr>
            </w:pPr>
            <w:r>
              <w:rPr>
                <w:rFonts w:ascii="Arial" w:hAnsi="Arial" w:cs="Arial"/>
              </w:rPr>
              <w:t>0.1</w:t>
            </w:r>
            <w:r w:rsidR="0015236A">
              <w:rPr>
                <w:rFonts w:ascii="Arial" w:hAnsi="Arial" w:cs="Arial"/>
              </w:rPr>
              <w:t>5</w:t>
            </w:r>
            <w:r>
              <w:rPr>
                <w:rFonts w:ascii="Arial" w:hAnsi="Arial" w:cs="Arial"/>
              </w:rPr>
              <w:t>%</w:t>
            </w:r>
          </w:p>
        </w:tc>
        <w:tc>
          <w:tcPr>
            <w:tcW w:w="1112" w:type="dxa"/>
            <w:tcBorders>
              <w:top w:val="nil"/>
              <w:left w:val="nil"/>
              <w:bottom w:val="nil"/>
              <w:right w:val="nil"/>
            </w:tcBorders>
            <w:noWrap/>
            <w:vAlign w:val="bottom"/>
          </w:tcPr>
          <w:p w:rsidR="00AB4A66" w:rsidRDefault="00B36BD1">
            <w:pPr>
              <w:jc w:val="center"/>
              <w:rPr>
                <w:rFonts w:ascii="Arial" w:hAnsi="Arial" w:cs="Arial"/>
              </w:rPr>
            </w:pPr>
            <w:r>
              <w:rPr>
                <w:rFonts w:ascii="Arial" w:hAnsi="Arial" w:cs="Arial"/>
              </w:rPr>
              <w:t>9.71</w:t>
            </w:r>
          </w:p>
        </w:tc>
        <w:tc>
          <w:tcPr>
            <w:tcW w:w="1112" w:type="dxa"/>
            <w:tcBorders>
              <w:top w:val="nil"/>
              <w:left w:val="nil"/>
              <w:bottom w:val="nil"/>
              <w:right w:val="nil"/>
            </w:tcBorders>
            <w:noWrap/>
            <w:vAlign w:val="bottom"/>
          </w:tcPr>
          <w:p w:rsidR="00AB4A66" w:rsidRDefault="00B36BD1">
            <w:pPr>
              <w:jc w:val="center"/>
              <w:rPr>
                <w:rFonts w:ascii="Arial" w:hAnsi="Arial" w:cs="Arial"/>
              </w:rPr>
            </w:pPr>
            <w:r>
              <w:rPr>
                <w:rFonts w:ascii="Arial" w:hAnsi="Arial" w:cs="Arial"/>
              </w:rPr>
              <w:t>10.29%</w:t>
            </w:r>
          </w:p>
        </w:tc>
      </w:tr>
      <w:tr w:rsidR="00175121" w:rsidTr="0015236A">
        <w:trPr>
          <w:trHeight w:val="255"/>
        </w:trPr>
        <w:tc>
          <w:tcPr>
            <w:tcW w:w="661" w:type="dxa"/>
            <w:tcBorders>
              <w:top w:val="nil"/>
              <w:left w:val="nil"/>
              <w:bottom w:val="nil"/>
              <w:right w:val="nil"/>
            </w:tcBorders>
            <w:noWrap/>
            <w:vAlign w:val="bottom"/>
          </w:tcPr>
          <w:p w:rsidR="00175121" w:rsidRDefault="0015236A">
            <w:pPr>
              <w:rPr>
                <w:rFonts w:ascii="Arial" w:hAnsi="Arial" w:cs="Arial"/>
              </w:rPr>
            </w:pPr>
            <w:r>
              <w:rPr>
                <w:rFonts w:ascii="Arial" w:hAnsi="Arial" w:cs="Arial"/>
              </w:rPr>
              <w:t>2010</w:t>
            </w:r>
          </w:p>
        </w:tc>
        <w:tc>
          <w:tcPr>
            <w:tcW w:w="895" w:type="dxa"/>
            <w:tcBorders>
              <w:top w:val="nil"/>
              <w:left w:val="nil"/>
              <w:bottom w:val="nil"/>
              <w:right w:val="nil"/>
            </w:tcBorders>
            <w:noWrap/>
            <w:vAlign w:val="bottom"/>
          </w:tcPr>
          <w:p w:rsidR="00175121" w:rsidRDefault="0015236A">
            <w:pPr>
              <w:jc w:val="center"/>
              <w:rPr>
                <w:rFonts w:ascii="Arial" w:hAnsi="Arial" w:cs="Arial"/>
              </w:rPr>
            </w:pPr>
            <w:r>
              <w:rPr>
                <w:rFonts w:ascii="Arial" w:hAnsi="Arial" w:cs="Arial"/>
              </w:rPr>
              <w:t>3.35%</w:t>
            </w:r>
          </w:p>
        </w:tc>
        <w:tc>
          <w:tcPr>
            <w:tcW w:w="976" w:type="dxa"/>
            <w:tcBorders>
              <w:top w:val="nil"/>
              <w:left w:val="nil"/>
              <w:bottom w:val="nil"/>
              <w:right w:val="nil"/>
            </w:tcBorders>
            <w:noWrap/>
            <w:vAlign w:val="bottom"/>
          </w:tcPr>
          <w:p w:rsidR="00175121" w:rsidRDefault="0015236A">
            <w:pPr>
              <w:jc w:val="center"/>
              <w:rPr>
                <w:rFonts w:ascii="Arial" w:hAnsi="Arial" w:cs="Arial"/>
              </w:rPr>
            </w:pPr>
            <w:r>
              <w:rPr>
                <w:rFonts w:ascii="Arial" w:hAnsi="Arial" w:cs="Arial"/>
              </w:rPr>
              <w:t>0.36%</w:t>
            </w:r>
          </w:p>
        </w:tc>
        <w:tc>
          <w:tcPr>
            <w:tcW w:w="1095" w:type="dxa"/>
            <w:tcBorders>
              <w:top w:val="nil"/>
              <w:left w:val="nil"/>
              <w:bottom w:val="nil"/>
              <w:right w:val="nil"/>
            </w:tcBorders>
            <w:noWrap/>
            <w:vAlign w:val="bottom"/>
          </w:tcPr>
          <w:p w:rsidR="00175121" w:rsidRDefault="0015236A">
            <w:pPr>
              <w:jc w:val="center"/>
              <w:rPr>
                <w:rFonts w:ascii="Arial" w:hAnsi="Arial" w:cs="Arial"/>
              </w:rPr>
            </w:pPr>
            <w:r>
              <w:rPr>
                <w:rFonts w:ascii="Arial" w:hAnsi="Arial" w:cs="Arial"/>
              </w:rPr>
              <w:t>9.31</w:t>
            </w:r>
          </w:p>
        </w:tc>
        <w:tc>
          <w:tcPr>
            <w:tcW w:w="1095" w:type="dxa"/>
            <w:tcBorders>
              <w:top w:val="nil"/>
              <w:left w:val="nil"/>
              <w:bottom w:val="nil"/>
              <w:right w:val="nil"/>
            </w:tcBorders>
            <w:noWrap/>
            <w:vAlign w:val="bottom"/>
          </w:tcPr>
          <w:p w:rsidR="00175121" w:rsidRDefault="0015236A">
            <w:pPr>
              <w:jc w:val="center"/>
              <w:rPr>
                <w:rFonts w:ascii="Arial" w:hAnsi="Arial" w:cs="Arial"/>
              </w:rPr>
            </w:pPr>
            <w:r>
              <w:rPr>
                <w:rFonts w:ascii="Arial" w:hAnsi="Arial" w:cs="Arial"/>
              </w:rPr>
              <w:t>10.75%</w:t>
            </w:r>
          </w:p>
        </w:tc>
        <w:tc>
          <w:tcPr>
            <w:tcW w:w="380" w:type="dxa"/>
            <w:tcBorders>
              <w:top w:val="nil"/>
              <w:left w:val="nil"/>
              <w:bottom w:val="nil"/>
              <w:right w:val="nil"/>
            </w:tcBorders>
            <w:noWrap/>
            <w:vAlign w:val="bottom"/>
          </w:tcPr>
          <w:p w:rsidR="00175121" w:rsidRDefault="00175121">
            <w:pPr>
              <w:rPr>
                <w:rFonts w:ascii="Arial" w:hAnsi="Arial" w:cs="Arial"/>
              </w:rPr>
            </w:pPr>
          </w:p>
        </w:tc>
        <w:tc>
          <w:tcPr>
            <w:tcW w:w="895" w:type="dxa"/>
            <w:tcBorders>
              <w:top w:val="nil"/>
              <w:left w:val="nil"/>
              <w:bottom w:val="nil"/>
              <w:right w:val="nil"/>
            </w:tcBorders>
            <w:noWrap/>
            <w:vAlign w:val="bottom"/>
          </w:tcPr>
          <w:p w:rsidR="00175121" w:rsidRDefault="0015236A">
            <w:pPr>
              <w:jc w:val="center"/>
              <w:rPr>
                <w:rFonts w:ascii="Arial" w:hAnsi="Arial" w:cs="Arial"/>
              </w:rPr>
            </w:pPr>
            <w:r>
              <w:rPr>
                <w:rFonts w:ascii="Arial" w:hAnsi="Arial" w:cs="Arial"/>
              </w:rPr>
              <w:t>6.78%</w:t>
            </w:r>
          </w:p>
        </w:tc>
        <w:tc>
          <w:tcPr>
            <w:tcW w:w="784" w:type="dxa"/>
            <w:tcBorders>
              <w:top w:val="nil"/>
              <w:left w:val="nil"/>
              <w:bottom w:val="nil"/>
              <w:right w:val="nil"/>
            </w:tcBorders>
            <w:noWrap/>
            <w:vAlign w:val="bottom"/>
          </w:tcPr>
          <w:p w:rsidR="00175121" w:rsidRDefault="0015236A">
            <w:pPr>
              <w:jc w:val="center"/>
              <w:rPr>
                <w:rFonts w:ascii="Arial" w:hAnsi="Arial" w:cs="Arial"/>
              </w:rPr>
            </w:pPr>
            <w:r>
              <w:rPr>
                <w:rFonts w:ascii="Arial" w:hAnsi="Arial" w:cs="Arial"/>
              </w:rPr>
              <w:t>0.75%</w:t>
            </w:r>
          </w:p>
        </w:tc>
        <w:tc>
          <w:tcPr>
            <w:tcW w:w="1112" w:type="dxa"/>
            <w:tcBorders>
              <w:top w:val="nil"/>
              <w:left w:val="nil"/>
              <w:bottom w:val="nil"/>
              <w:right w:val="nil"/>
            </w:tcBorders>
            <w:noWrap/>
            <w:vAlign w:val="bottom"/>
          </w:tcPr>
          <w:p w:rsidR="00175121" w:rsidRDefault="0015236A">
            <w:pPr>
              <w:jc w:val="center"/>
              <w:rPr>
                <w:rFonts w:ascii="Arial" w:hAnsi="Arial" w:cs="Arial"/>
              </w:rPr>
            </w:pPr>
            <w:r>
              <w:rPr>
                <w:rFonts w:ascii="Arial" w:hAnsi="Arial" w:cs="Arial"/>
              </w:rPr>
              <w:t>9.60</w:t>
            </w:r>
          </w:p>
        </w:tc>
        <w:tc>
          <w:tcPr>
            <w:tcW w:w="1112" w:type="dxa"/>
            <w:tcBorders>
              <w:top w:val="nil"/>
              <w:left w:val="nil"/>
              <w:bottom w:val="nil"/>
              <w:right w:val="nil"/>
            </w:tcBorders>
            <w:noWrap/>
            <w:vAlign w:val="bottom"/>
          </w:tcPr>
          <w:p w:rsidR="00175121" w:rsidRDefault="0015236A">
            <w:pPr>
              <w:jc w:val="center"/>
              <w:rPr>
                <w:rFonts w:ascii="Arial" w:hAnsi="Arial" w:cs="Arial"/>
              </w:rPr>
            </w:pPr>
            <w:r>
              <w:rPr>
                <w:rFonts w:ascii="Arial" w:hAnsi="Arial" w:cs="Arial"/>
              </w:rPr>
              <w:t>10.42%</w:t>
            </w:r>
          </w:p>
        </w:tc>
      </w:tr>
      <w:tr w:rsidR="00175121" w:rsidTr="0015236A">
        <w:trPr>
          <w:trHeight w:val="255"/>
        </w:trPr>
        <w:tc>
          <w:tcPr>
            <w:tcW w:w="661" w:type="dxa"/>
            <w:tcBorders>
              <w:top w:val="nil"/>
              <w:left w:val="nil"/>
              <w:bottom w:val="nil"/>
              <w:right w:val="nil"/>
            </w:tcBorders>
            <w:noWrap/>
            <w:vAlign w:val="bottom"/>
          </w:tcPr>
          <w:p w:rsidR="00175121" w:rsidRDefault="0015236A">
            <w:pPr>
              <w:rPr>
                <w:rFonts w:ascii="Arial" w:hAnsi="Arial" w:cs="Arial"/>
              </w:rPr>
            </w:pPr>
            <w:r>
              <w:rPr>
                <w:rFonts w:ascii="Arial" w:hAnsi="Arial" w:cs="Arial"/>
              </w:rPr>
              <w:t>2012</w:t>
            </w:r>
          </w:p>
        </w:tc>
        <w:tc>
          <w:tcPr>
            <w:tcW w:w="895" w:type="dxa"/>
            <w:tcBorders>
              <w:top w:val="nil"/>
              <w:left w:val="nil"/>
              <w:bottom w:val="nil"/>
              <w:right w:val="nil"/>
            </w:tcBorders>
            <w:noWrap/>
            <w:vAlign w:val="bottom"/>
          </w:tcPr>
          <w:p w:rsidR="00175121" w:rsidRDefault="0015236A">
            <w:pPr>
              <w:jc w:val="center"/>
              <w:rPr>
                <w:rFonts w:ascii="Arial" w:hAnsi="Arial" w:cs="Arial"/>
              </w:rPr>
            </w:pPr>
            <w:r>
              <w:rPr>
                <w:rFonts w:ascii="Arial" w:hAnsi="Arial" w:cs="Arial"/>
              </w:rPr>
              <w:t>8.36%</w:t>
            </w:r>
          </w:p>
        </w:tc>
        <w:tc>
          <w:tcPr>
            <w:tcW w:w="976" w:type="dxa"/>
            <w:tcBorders>
              <w:top w:val="nil"/>
              <w:left w:val="nil"/>
              <w:bottom w:val="nil"/>
              <w:right w:val="nil"/>
            </w:tcBorders>
            <w:noWrap/>
            <w:vAlign w:val="bottom"/>
          </w:tcPr>
          <w:p w:rsidR="00175121" w:rsidRDefault="0015236A">
            <w:pPr>
              <w:jc w:val="center"/>
              <w:rPr>
                <w:rFonts w:ascii="Arial" w:hAnsi="Arial" w:cs="Arial"/>
              </w:rPr>
            </w:pPr>
            <w:r>
              <w:rPr>
                <w:rFonts w:ascii="Arial" w:hAnsi="Arial" w:cs="Arial"/>
              </w:rPr>
              <w:t>0.78%</w:t>
            </w:r>
          </w:p>
        </w:tc>
        <w:tc>
          <w:tcPr>
            <w:tcW w:w="1095" w:type="dxa"/>
            <w:tcBorders>
              <w:top w:val="nil"/>
              <w:left w:val="nil"/>
              <w:bottom w:val="nil"/>
              <w:right w:val="nil"/>
            </w:tcBorders>
            <w:noWrap/>
            <w:vAlign w:val="bottom"/>
          </w:tcPr>
          <w:p w:rsidR="00175121" w:rsidRDefault="0015236A">
            <w:pPr>
              <w:jc w:val="center"/>
              <w:rPr>
                <w:rFonts w:ascii="Arial" w:hAnsi="Arial" w:cs="Arial"/>
              </w:rPr>
            </w:pPr>
            <w:r>
              <w:rPr>
                <w:rFonts w:ascii="Arial" w:hAnsi="Arial" w:cs="Arial"/>
              </w:rPr>
              <w:t>10.72</w:t>
            </w:r>
          </w:p>
        </w:tc>
        <w:tc>
          <w:tcPr>
            <w:tcW w:w="1095" w:type="dxa"/>
            <w:tcBorders>
              <w:top w:val="nil"/>
              <w:left w:val="nil"/>
              <w:bottom w:val="nil"/>
              <w:right w:val="nil"/>
            </w:tcBorders>
            <w:noWrap/>
            <w:vAlign w:val="bottom"/>
          </w:tcPr>
          <w:p w:rsidR="00175121" w:rsidRDefault="0015236A">
            <w:pPr>
              <w:jc w:val="center"/>
              <w:rPr>
                <w:rFonts w:ascii="Arial" w:hAnsi="Arial" w:cs="Arial"/>
              </w:rPr>
            </w:pPr>
            <w:r>
              <w:rPr>
                <w:rFonts w:ascii="Arial" w:hAnsi="Arial" w:cs="Arial"/>
              </w:rPr>
              <w:t>9.33%</w:t>
            </w:r>
          </w:p>
        </w:tc>
        <w:tc>
          <w:tcPr>
            <w:tcW w:w="380" w:type="dxa"/>
            <w:tcBorders>
              <w:top w:val="nil"/>
              <w:left w:val="nil"/>
              <w:bottom w:val="nil"/>
              <w:right w:val="nil"/>
            </w:tcBorders>
            <w:noWrap/>
            <w:vAlign w:val="bottom"/>
          </w:tcPr>
          <w:p w:rsidR="00175121" w:rsidRDefault="00175121">
            <w:pPr>
              <w:rPr>
                <w:rFonts w:ascii="Arial" w:hAnsi="Arial" w:cs="Arial"/>
              </w:rPr>
            </w:pPr>
          </w:p>
        </w:tc>
        <w:tc>
          <w:tcPr>
            <w:tcW w:w="895" w:type="dxa"/>
            <w:tcBorders>
              <w:top w:val="nil"/>
              <w:left w:val="nil"/>
              <w:bottom w:val="nil"/>
              <w:right w:val="nil"/>
            </w:tcBorders>
            <w:noWrap/>
            <w:vAlign w:val="bottom"/>
          </w:tcPr>
          <w:p w:rsidR="00175121" w:rsidRDefault="0015236A">
            <w:pPr>
              <w:jc w:val="center"/>
              <w:rPr>
                <w:rFonts w:ascii="Arial" w:hAnsi="Arial" w:cs="Arial"/>
              </w:rPr>
            </w:pPr>
            <w:r>
              <w:rPr>
                <w:rFonts w:ascii="Arial" w:hAnsi="Arial" w:cs="Arial"/>
              </w:rPr>
              <w:t>8.97%</w:t>
            </w:r>
          </w:p>
        </w:tc>
        <w:tc>
          <w:tcPr>
            <w:tcW w:w="784" w:type="dxa"/>
            <w:tcBorders>
              <w:top w:val="nil"/>
              <w:left w:val="nil"/>
              <w:bottom w:val="nil"/>
              <w:right w:val="nil"/>
            </w:tcBorders>
            <w:noWrap/>
            <w:vAlign w:val="bottom"/>
          </w:tcPr>
          <w:p w:rsidR="00175121" w:rsidRDefault="0015236A">
            <w:pPr>
              <w:jc w:val="center"/>
              <w:rPr>
                <w:rFonts w:ascii="Arial" w:hAnsi="Arial" w:cs="Arial"/>
              </w:rPr>
            </w:pPr>
            <w:r>
              <w:rPr>
                <w:rFonts w:ascii="Arial" w:hAnsi="Arial" w:cs="Arial"/>
              </w:rPr>
              <w:t>1.01%</w:t>
            </w:r>
          </w:p>
        </w:tc>
        <w:tc>
          <w:tcPr>
            <w:tcW w:w="1112" w:type="dxa"/>
            <w:tcBorders>
              <w:top w:val="nil"/>
              <w:left w:val="nil"/>
              <w:bottom w:val="nil"/>
              <w:right w:val="nil"/>
            </w:tcBorders>
            <w:noWrap/>
            <w:vAlign w:val="bottom"/>
          </w:tcPr>
          <w:p w:rsidR="00175121" w:rsidRDefault="0015236A">
            <w:pPr>
              <w:jc w:val="center"/>
              <w:rPr>
                <w:rFonts w:ascii="Arial" w:hAnsi="Arial" w:cs="Arial"/>
              </w:rPr>
            </w:pPr>
            <w:r>
              <w:rPr>
                <w:rFonts w:ascii="Arial" w:hAnsi="Arial" w:cs="Arial"/>
              </w:rPr>
              <w:t>8.88</w:t>
            </w:r>
          </w:p>
        </w:tc>
        <w:tc>
          <w:tcPr>
            <w:tcW w:w="1112" w:type="dxa"/>
            <w:tcBorders>
              <w:top w:val="nil"/>
              <w:left w:val="nil"/>
              <w:bottom w:val="nil"/>
              <w:right w:val="nil"/>
            </w:tcBorders>
            <w:noWrap/>
            <w:vAlign w:val="bottom"/>
          </w:tcPr>
          <w:p w:rsidR="00175121" w:rsidRDefault="0015236A">
            <w:pPr>
              <w:jc w:val="center"/>
              <w:rPr>
                <w:rFonts w:ascii="Arial" w:hAnsi="Arial" w:cs="Arial"/>
              </w:rPr>
            </w:pPr>
            <w:r>
              <w:rPr>
                <w:rFonts w:ascii="Arial" w:hAnsi="Arial" w:cs="Arial"/>
              </w:rPr>
              <w:t>11.26%</w:t>
            </w:r>
          </w:p>
        </w:tc>
      </w:tr>
    </w:tbl>
    <w:p w:rsidR="00014C98" w:rsidRDefault="00014C98">
      <w:pPr>
        <w:tabs>
          <w:tab w:val="left" w:pos="540"/>
          <w:tab w:val="left" w:pos="1440"/>
          <w:tab w:val="left" w:pos="1620"/>
          <w:tab w:val="left" w:pos="2160"/>
        </w:tabs>
        <w:rPr>
          <w:sz w:val="24"/>
        </w:rPr>
      </w:pPr>
    </w:p>
    <w:p w:rsidR="00014C98" w:rsidRDefault="00014C98" w:rsidP="0015236A">
      <w:pPr>
        <w:pStyle w:val="BodyTextIndent"/>
        <w:tabs>
          <w:tab w:val="clear" w:pos="540"/>
          <w:tab w:val="clear" w:pos="1620"/>
        </w:tabs>
        <w:ind w:left="0" w:firstLine="0"/>
      </w:pPr>
      <w:r>
        <w:t>The growth in the equity to total assets ratio has occurred primarily because of the increased profitability of the entire banking indus</w:t>
      </w:r>
      <w:r w:rsidR="003824B5">
        <w:t>try and</w:t>
      </w:r>
      <w:r w:rsidR="00B36BD1">
        <w:t xml:space="preserve"> (particularly during the financial crisis)</w:t>
      </w:r>
      <w:r w:rsidR="003824B5">
        <w:t xml:space="preserve"> the encouragement of</w:t>
      </w:r>
      <w:r>
        <w:t xml:space="preserve"> regulators to increase the amount of </w:t>
      </w:r>
      <w:r w:rsidR="00514F6B">
        <w:t xml:space="preserve">equity financing in the banks. </w:t>
      </w:r>
      <w:r>
        <w:t>Increased fee income, reduced loan loss reserves, and a low, stable interest rate environment have produced the increased profitability which in turn has allowed banks to increase equity through retained earnings.</w:t>
      </w:r>
    </w:p>
    <w:p w:rsidR="00014C98" w:rsidRDefault="00014C98" w:rsidP="0015236A">
      <w:pPr>
        <w:rPr>
          <w:sz w:val="24"/>
        </w:rPr>
      </w:pPr>
    </w:p>
    <w:p w:rsidR="00014C98" w:rsidRDefault="00014C98" w:rsidP="0015236A">
      <w:pPr>
        <w:rPr>
          <w:sz w:val="24"/>
        </w:rPr>
      </w:pPr>
      <w:r>
        <w:rPr>
          <w:sz w:val="24"/>
        </w:rPr>
        <w:t xml:space="preserve">Smaller banks tend to have a higher equity ratio because they have more limited asset growth opportunities, generally have less diverse sources of funds, and historically have had greater profitability than larger banks.  </w:t>
      </w:r>
    </w:p>
    <w:p w:rsidR="00014C98" w:rsidRDefault="00014C98">
      <w:pPr>
        <w:tabs>
          <w:tab w:val="left" w:pos="540"/>
        </w:tabs>
        <w:ind w:left="540" w:hanging="540"/>
        <w:rPr>
          <w:sz w:val="24"/>
        </w:rPr>
      </w:pPr>
    </w:p>
    <w:p w:rsidR="00014C98" w:rsidRDefault="00014C98">
      <w:pPr>
        <w:numPr>
          <w:ilvl w:val="0"/>
          <w:numId w:val="6"/>
        </w:numPr>
        <w:rPr>
          <w:sz w:val="24"/>
        </w:rPr>
      </w:pPr>
      <w:r>
        <w:rPr>
          <w:sz w:val="24"/>
        </w:rPr>
        <w:t>What factors caused the decrease in loan volume relative to other assets on the balan</w:t>
      </w:r>
      <w:r w:rsidR="00514F6B">
        <w:rPr>
          <w:sz w:val="24"/>
        </w:rPr>
        <w:t xml:space="preserve">ce sheets of commercial banks? </w:t>
      </w:r>
      <w:r>
        <w:rPr>
          <w:sz w:val="24"/>
        </w:rPr>
        <w:t xml:space="preserve">How has each of these factors been related to the change and development of the financial services industry during the 1990s and </w:t>
      </w:r>
      <w:r w:rsidR="00514F6B">
        <w:rPr>
          <w:sz w:val="24"/>
        </w:rPr>
        <w:t xml:space="preserve">2000s? </w:t>
      </w:r>
      <w:r>
        <w:rPr>
          <w:sz w:val="24"/>
        </w:rPr>
        <w:t>What strategic changes have banks implemented to deal with changes in the financial services environment?</w:t>
      </w:r>
    </w:p>
    <w:p w:rsidR="00014C98" w:rsidRDefault="00014C98">
      <w:pPr>
        <w:rPr>
          <w:sz w:val="24"/>
        </w:rPr>
      </w:pPr>
    </w:p>
    <w:p w:rsidR="00014C98" w:rsidRDefault="00014C98">
      <w:pPr>
        <w:rPr>
          <w:sz w:val="24"/>
        </w:rPr>
      </w:pPr>
      <w:r>
        <w:rPr>
          <w:sz w:val="24"/>
        </w:rPr>
        <w:t>Corporations have utilized the commercial paper markets with increased frequency</w:t>
      </w:r>
      <w:r w:rsidR="00514F6B">
        <w:rPr>
          <w:sz w:val="24"/>
        </w:rPr>
        <w:t xml:space="preserve"> rather than borrow from banks.</w:t>
      </w:r>
      <w:r>
        <w:rPr>
          <w:sz w:val="24"/>
        </w:rPr>
        <w:t xml:space="preserve"> In addition, many banks have sold loan packages directly into the capital markets (securitization) as a method to reduce balance sheet risks and to improve liquidity.  Finally, the decrease in loan volume during the early 1990s and 2000s was due in part to the </w:t>
      </w:r>
      <w:r w:rsidR="001C6AAA">
        <w:rPr>
          <w:sz w:val="24"/>
        </w:rPr>
        <w:t xml:space="preserve">short </w:t>
      </w:r>
      <w:r>
        <w:rPr>
          <w:sz w:val="24"/>
        </w:rPr>
        <w:t xml:space="preserve">recession in </w:t>
      </w:r>
      <w:r w:rsidR="001C6AAA">
        <w:rPr>
          <w:sz w:val="24"/>
        </w:rPr>
        <w:t>2001 and the much stronger recession and financial crisis in 2007-2009.</w:t>
      </w:r>
    </w:p>
    <w:p w:rsidR="00014C98" w:rsidRDefault="00014C98">
      <w:pPr>
        <w:rPr>
          <w:sz w:val="24"/>
        </w:rPr>
      </w:pPr>
    </w:p>
    <w:p w:rsidR="00014C98" w:rsidRDefault="003042F0">
      <w:pPr>
        <w:rPr>
          <w:sz w:val="24"/>
        </w:rPr>
      </w:pPr>
      <w:r>
        <w:rPr>
          <w:sz w:val="24"/>
        </w:rPr>
        <w:t>Further, a</w:t>
      </w:r>
      <w:r w:rsidR="00014C98">
        <w:rPr>
          <w:sz w:val="24"/>
        </w:rPr>
        <w:t>s deregulation of the financial services industry o</w:t>
      </w:r>
      <w:r>
        <w:rPr>
          <w:sz w:val="24"/>
        </w:rPr>
        <w:t>cc</w:t>
      </w:r>
      <w:r w:rsidR="00014C98">
        <w:rPr>
          <w:sz w:val="24"/>
        </w:rPr>
        <w:t>u</w:t>
      </w:r>
      <w:r>
        <w:rPr>
          <w:sz w:val="24"/>
        </w:rPr>
        <w:t>rr</w:t>
      </w:r>
      <w:r w:rsidR="00014C98">
        <w:rPr>
          <w:sz w:val="24"/>
        </w:rPr>
        <w:t>ed during the 1990s, the position of banks as the primary financial services p</w:t>
      </w:r>
      <w:r>
        <w:rPr>
          <w:sz w:val="24"/>
        </w:rPr>
        <w:t xml:space="preserve">rovider </w:t>
      </w:r>
      <w:r w:rsidR="00514F6B">
        <w:rPr>
          <w:sz w:val="24"/>
        </w:rPr>
        <w:t>erode</w:t>
      </w:r>
      <w:r>
        <w:rPr>
          <w:sz w:val="24"/>
        </w:rPr>
        <w:t>d</w:t>
      </w:r>
      <w:r w:rsidR="00514F6B">
        <w:rPr>
          <w:sz w:val="24"/>
        </w:rPr>
        <w:t xml:space="preserve">. </w:t>
      </w:r>
      <w:r w:rsidR="00014C98">
        <w:rPr>
          <w:sz w:val="24"/>
        </w:rPr>
        <w:t>Banks of all sizes have increased the use of off-balance</w:t>
      </w:r>
      <w:r>
        <w:rPr>
          <w:sz w:val="24"/>
        </w:rPr>
        <w:t>-</w:t>
      </w:r>
      <w:r w:rsidR="00014C98">
        <w:rPr>
          <w:sz w:val="24"/>
        </w:rPr>
        <w:t>sheet activities in an effort to ge</w:t>
      </w:r>
      <w:r w:rsidR="00514F6B">
        <w:rPr>
          <w:sz w:val="24"/>
        </w:rPr>
        <w:t xml:space="preserve">nerate additional fee income. </w:t>
      </w:r>
      <w:r w:rsidR="00014C98">
        <w:rPr>
          <w:sz w:val="24"/>
        </w:rPr>
        <w:t>Letters of credit, futures, options, swaps</w:t>
      </w:r>
      <w:r>
        <w:rPr>
          <w:sz w:val="24"/>
        </w:rPr>
        <w:t>,</w:t>
      </w:r>
      <w:r w:rsidR="00014C98">
        <w:rPr>
          <w:sz w:val="24"/>
        </w:rPr>
        <w:t xml:space="preserve"> and other derivative products are not reflected on the balance sheet, but do provide fee income for the banks.  </w:t>
      </w:r>
    </w:p>
    <w:p w:rsidR="008A1F5A" w:rsidRDefault="008A1F5A">
      <w:pPr>
        <w:rPr>
          <w:sz w:val="24"/>
        </w:rPr>
      </w:pPr>
      <w:r>
        <w:rPr>
          <w:sz w:val="24"/>
        </w:rPr>
        <w:br w:type="page"/>
      </w:r>
    </w:p>
    <w:p w:rsidR="00014C98" w:rsidRDefault="00014C98">
      <w:pPr>
        <w:rPr>
          <w:sz w:val="24"/>
        </w:rPr>
      </w:pPr>
    </w:p>
    <w:p w:rsidR="00014C98" w:rsidRDefault="00014C98">
      <w:pPr>
        <w:numPr>
          <w:ilvl w:val="0"/>
          <w:numId w:val="6"/>
        </w:numPr>
        <w:tabs>
          <w:tab w:val="left" w:pos="540"/>
          <w:tab w:val="left" w:pos="1080"/>
          <w:tab w:val="left" w:pos="1620"/>
        </w:tabs>
        <w:rPr>
          <w:sz w:val="24"/>
        </w:rPr>
      </w:pPr>
      <w:r>
        <w:rPr>
          <w:sz w:val="24"/>
        </w:rPr>
        <w:t>What are the major uses of funds for commercial banks in the United States</w:t>
      </w:r>
      <w:r w:rsidR="00514F6B">
        <w:rPr>
          <w:sz w:val="24"/>
        </w:rPr>
        <w:t xml:space="preserve">? </w:t>
      </w:r>
      <w:r>
        <w:rPr>
          <w:sz w:val="24"/>
        </w:rPr>
        <w:t xml:space="preserve">What are the primary risks to </w:t>
      </w:r>
      <w:r w:rsidR="003824B5">
        <w:rPr>
          <w:sz w:val="24"/>
        </w:rPr>
        <w:t>a</w:t>
      </w:r>
      <w:r>
        <w:rPr>
          <w:sz w:val="24"/>
        </w:rPr>
        <w:t xml:space="preserve"> ban</w:t>
      </w:r>
      <w:r w:rsidR="00514F6B">
        <w:rPr>
          <w:sz w:val="24"/>
        </w:rPr>
        <w:t xml:space="preserve">k caused by each of </w:t>
      </w:r>
      <w:r w:rsidR="003042F0">
        <w:rPr>
          <w:sz w:val="24"/>
        </w:rPr>
        <w:t>the</w:t>
      </w:r>
      <w:r w:rsidR="00514F6B">
        <w:rPr>
          <w:sz w:val="24"/>
        </w:rPr>
        <w:t>s</w:t>
      </w:r>
      <w:r w:rsidR="003042F0">
        <w:rPr>
          <w:sz w:val="24"/>
        </w:rPr>
        <w:t>e</w:t>
      </w:r>
      <w:r w:rsidR="00514F6B">
        <w:rPr>
          <w:sz w:val="24"/>
        </w:rPr>
        <w:t xml:space="preserve">? </w:t>
      </w:r>
      <w:r>
        <w:rPr>
          <w:sz w:val="24"/>
        </w:rPr>
        <w:t>Which of the risks is most critical to</w:t>
      </w:r>
      <w:r w:rsidR="003042F0">
        <w:rPr>
          <w:sz w:val="24"/>
        </w:rPr>
        <w:t xml:space="preserve"> the continuing operation of a</w:t>
      </w:r>
      <w:r>
        <w:rPr>
          <w:sz w:val="24"/>
        </w:rPr>
        <w:t xml:space="preserve"> bank?</w:t>
      </w:r>
    </w:p>
    <w:p w:rsidR="00014C98" w:rsidRDefault="00014C98">
      <w:pPr>
        <w:tabs>
          <w:tab w:val="left" w:pos="540"/>
          <w:tab w:val="left" w:pos="1080"/>
          <w:tab w:val="left" w:pos="1620"/>
        </w:tabs>
        <w:rPr>
          <w:sz w:val="24"/>
        </w:rPr>
      </w:pPr>
    </w:p>
    <w:p w:rsidR="00014C98" w:rsidRDefault="00014C98">
      <w:pPr>
        <w:tabs>
          <w:tab w:val="left" w:pos="540"/>
          <w:tab w:val="left" w:pos="1080"/>
          <w:tab w:val="left" w:pos="1620"/>
        </w:tabs>
        <w:rPr>
          <w:sz w:val="24"/>
        </w:rPr>
      </w:pPr>
      <w:r>
        <w:rPr>
          <w:sz w:val="24"/>
        </w:rPr>
        <w:t>Loans and investment securities continue to be the primary a</w:t>
      </w:r>
      <w:r w:rsidR="00514F6B">
        <w:rPr>
          <w:sz w:val="24"/>
        </w:rPr>
        <w:t xml:space="preserve">ssets of the banking industry. </w:t>
      </w:r>
      <w:r>
        <w:rPr>
          <w:sz w:val="24"/>
        </w:rPr>
        <w:t xml:space="preserve">Commercial loans are relatively more important for the larger banks, while consumer, small business loans, and residential mortgages are more </w:t>
      </w:r>
      <w:r w:rsidR="00514F6B">
        <w:rPr>
          <w:sz w:val="24"/>
        </w:rPr>
        <w:t>important for small banks.</w:t>
      </w:r>
      <w:r>
        <w:rPr>
          <w:sz w:val="24"/>
        </w:rPr>
        <w:t xml:space="preserve"> Each of these types of loans creates credit, and to varying extents, </w:t>
      </w:r>
      <w:r w:rsidR="00514F6B">
        <w:rPr>
          <w:sz w:val="24"/>
        </w:rPr>
        <w:t xml:space="preserve">liquidity risks for the banks. </w:t>
      </w:r>
      <w:r>
        <w:rPr>
          <w:sz w:val="24"/>
        </w:rPr>
        <w:t>The security portfolio normally is a source of liquidity and interest rate risk, especially with the increased u</w:t>
      </w:r>
      <w:r w:rsidR="00FD0EE6">
        <w:rPr>
          <w:sz w:val="24"/>
        </w:rPr>
        <w:t>se of various types of mortgage-</w:t>
      </w:r>
      <w:r>
        <w:rPr>
          <w:sz w:val="24"/>
        </w:rPr>
        <w:t>backed s</w:t>
      </w:r>
      <w:r w:rsidR="00514F6B">
        <w:rPr>
          <w:sz w:val="24"/>
        </w:rPr>
        <w:t>ecurities and structured notes.</w:t>
      </w:r>
      <w:r>
        <w:rPr>
          <w:sz w:val="24"/>
        </w:rPr>
        <w:t xml:space="preserve"> In certain environments, each of these risks can create operational and performance problems for a bank. </w:t>
      </w:r>
    </w:p>
    <w:p w:rsidR="00014C98" w:rsidRDefault="00014C98">
      <w:pPr>
        <w:tabs>
          <w:tab w:val="left" w:pos="540"/>
          <w:tab w:val="left" w:pos="1080"/>
          <w:tab w:val="left" w:pos="1620"/>
        </w:tabs>
        <w:rPr>
          <w:sz w:val="24"/>
        </w:rPr>
      </w:pPr>
    </w:p>
    <w:p w:rsidR="00014C98" w:rsidRDefault="00014C98">
      <w:pPr>
        <w:numPr>
          <w:ilvl w:val="0"/>
          <w:numId w:val="6"/>
        </w:numPr>
        <w:tabs>
          <w:tab w:val="left" w:pos="1080"/>
          <w:tab w:val="left" w:pos="1620"/>
        </w:tabs>
        <w:rPr>
          <w:sz w:val="24"/>
        </w:rPr>
      </w:pPr>
      <w:r>
        <w:rPr>
          <w:sz w:val="24"/>
        </w:rPr>
        <w:t>What are the major sources of funds for commercial banks in the United States</w:t>
      </w:r>
      <w:r w:rsidR="00514F6B">
        <w:rPr>
          <w:sz w:val="24"/>
        </w:rPr>
        <w:t xml:space="preserve">? </w:t>
      </w:r>
      <w:r>
        <w:rPr>
          <w:sz w:val="24"/>
        </w:rPr>
        <w:t>How is the landscape for these funds changing and why?</w:t>
      </w:r>
    </w:p>
    <w:p w:rsidR="00014C98" w:rsidRDefault="00014C98">
      <w:pPr>
        <w:tabs>
          <w:tab w:val="left" w:pos="1080"/>
          <w:tab w:val="left" w:pos="1620"/>
        </w:tabs>
        <w:rPr>
          <w:sz w:val="24"/>
        </w:rPr>
      </w:pPr>
    </w:p>
    <w:p w:rsidR="00014C98" w:rsidRDefault="00014C98">
      <w:pPr>
        <w:tabs>
          <w:tab w:val="left" w:pos="1080"/>
          <w:tab w:val="left" w:pos="1620"/>
        </w:tabs>
        <w:rPr>
          <w:sz w:val="24"/>
        </w:rPr>
      </w:pPr>
      <w:r>
        <w:rPr>
          <w:sz w:val="24"/>
        </w:rPr>
        <w:t>The primary sources of funds ar</w:t>
      </w:r>
      <w:r w:rsidR="00514F6B">
        <w:rPr>
          <w:sz w:val="24"/>
        </w:rPr>
        <w:t xml:space="preserve">e deposits and borrowed funds. </w:t>
      </w:r>
      <w:r>
        <w:rPr>
          <w:sz w:val="24"/>
        </w:rPr>
        <w:t xml:space="preserve">Small banks rely more heavily on transaction, savings, and retail time deposits, while large banks tend to utilize large, negotiable time deposits and </w:t>
      </w:r>
      <w:proofErr w:type="spellStart"/>
      <w:r>
        <w:rPr>
          <w:sz w:val="24"/>
        </w:rPr>
        <w:t>nondeposit</w:t>
      </w:r>
      <w:proofErr w:type="spellEnd"/>
      <w:r>
        <w:rPr>
          <w:sz w:val="24"/>
        </w:rPr>
        <w:t xml:space="preserve"> liabilities such as federal fu</w:t>
      </w:r>
      <w:r w:rsidR="00514F6B">
        <w:rPr>
          <w:sz w:val="24"/>
        </w:rPr>
        <w:t xml:space="preserve">nds and repurchase agreements. </w:t>
      </w:r>
      <w:r>
        <w:rPr>
          <w:sz w:val="24"/>
        </w:rPr>
        <w:t xml:space="preserve">The supply of </w:t>
      </w:r>
      <w:proofErr w:type="spellStart"/>
      <w:r>
        <w:rPr>
          <w:sz w:val="24"/>
        </w:rPr>
        <w:t>nontr</w:t>
      </w:r>
      <w:r w:rsidR="003042F0">
        <w:rPr>
          <w:sz w:val="24"/>
        </w:rPr>
        <w:t>ansaction</w:t>
      </w:r>
      <w:proofErr w:type="spellEnd"/>
      <w:r w:rsidR="003042F0">
        <w:rPr>
          <w:sz w:val="24"/>
        </w:rPr>
        <w:t xml:space="preserve"> deposits is shrinking</w:t>
      </w:r>
      <w:r>
        <w:rPr>
          <w:sz w:val="24"/>
        </w:rPr>
        <w:t xml:space="preserve"> because of the increased use by small savers of higher-yiel</w:t>
      </w:r>
      <w:r w:rsidR="003042F0">
        <w:rPr>
          <w:sz w:val="24"/>
        </w:rPr>
        <w:t>ding money market mutual funds.</w:t>
      </w:r>
    </w:p>
    <w:p w:rsidR="00014C98" w:rsidRDefault="00014C98">
      <w:pPr>
        <w:tabs>
          <w:tab w:val="left" w:pos="1080"/>
          <w:tab w:val="left" w:pos="1620"/>
        </w:tabs>
        <w:rPr>
          <w:sz w:val="24"/>
        </w:rPr>
      </w:pPr>
    </w:p>
    <w:p w:rsidR="00014C98" w:rsidRDefault="00014C98">
      <w:pPr>
        <w:pStyle w:val="BodyTextIndent"/>
      </w:pPr>
      <w:r>
        <w:t>6.</w:t>
      </w:r>
      <w:r>
        <w:tab/>
        <w:t>What are the three major segments of deposit funding?  How are thes</w:t>
      </w:r>
      <w:r w:rsidR="00514F6B">
        <w:t xml:space="preserve">e segments changing over time? Why? </w:t>
      </w:r>
      <w:r>
        <w:t>What strategic impact do these changes have on the profitable operation of a bank?</w:t>
      </w:r>
    </w:p>
    <w:p w:rsidR="00014C98" w:rsidRDefault="00014C98">
      <w:pPr>
        <w:tabs>
          <w:tab w:val="left" w:pos="540"/>
          <w:tab w:val="left" w:pos="1620"/>
        </w:tabs>
        <w:ind w:left="540" w:hanging="540"/>
        <w:rPr>
          <w:sz w:val="24"/>
        </w:rPr>
      </w:pPr>
    </w:p>
    <w:p w:rsidR="00014C98" w:rsidRDefault="00014C98">
      <w:pPr>
        <w:pStyle w:val="BodyText"/>
        <w:tabs>
          <w:tab w:val="left" w:pos="540"/>
          <w:tab w:val="left" w:pos="1620"/>
        </w:tabs>
      </w:pPr>
      <w:r>
        <w:t>Transaction accounts include deposits that do not pay interest and NOW accounts that pay interest. Retail savings accounts include passbook savings accounts and small</w:t>
      </w:r>
      <w:r w:rsidR="00514F6B">
        <w:t xml:space="preserve">, nonnegotiable time deposits. </w:t>
      </w:r>
      <w:r>
        <w:t>Large time deposits include negotiable certificates of deposits that can be re</w:t>
      </w:r>
      <w:r w:rsidR="00514F6B">
        <w:t xml:space="preserve">sold in the secondary market. </w:t>
      </w:r>
      <w:r>
        <w:t xml:space="preserve">The importance of transaction and retail accounts is shrinking due to the direct investment in money market </w:t>
      </w:r>
      <w:r w:rsidR="003824B5">
        <w:t>mutual fund</w:t>
      </w:r>
      <w:r w:rsidR="00514F6B">
        <w:t xml:space="preserve">s by individual investors. </w:t>
      </w:r>
      <w:r>
        <w:t>The changes in the deposit markets coincide with the efforts to constrain the growth on the asset side of the balance sheet.</w:t>
      </w:r>
    </w:p>
    <w:p w:rsidR="00FD0EE6" w:rsidRDefault="00FD0EE6">
      <w:pPr>
        <w:pStyle w:val="BodyText"/>
        <w:tabs>
          <w:tab w:val="left" w:pos="540"/>
          <w:tab w:val="left" w:pos="1620"/>
        </w:tabs>
      </w:pPr>
    </w:p>
    <w:p w:rsidR="00014C98" w:rsidRDefault="00014C98">
      <w:pPr>
        <w:pStyle w:val="BodyText"/>
        <w:tabs>
          <w:tab w:val="left" w:pos="540"/>
          <w:tab w:val="left" w:pos="1620"/>
        </w:tabs>
        <w:ind w:left="540" w:hanging="540"/>
      </w:pPr>
      <w:r>
        <w:t>7.</w:t>
      </w:r>
      <w:r>
        <w:tab/>
        <w:t>How does the liability maturity structure of a bank’s balance sheet compare with the maturity str</w:t>
      </w:r>
      <w:r w:rsidR="00514F6B">
        <w:t xml:space="preserve">ucture of the asset portfolio? </w:t>
      </w:r>
      <w:r>
        <w:t>What risks are created or intensified by these differences?</w:t>
      </w:r>
    </w:p>
    <w:p w:rsidR="00014C98" w:rsidRDefault="00014C98">
      <w:pPr>
        <w:pStyle w:val="BodyText"/>
        <w:tabs>
          <w:tab w:val="left" w:pos="540"/>
          <w:tab w:val="left" w:pos="1620"/>
        </w:tabs>
        <w:ind w:left="540" w:hanging="540"/>
      </w:pPr>
    </w:p>
    <w:p w:rsidR="00014C98" w:rsidRDefault="00014C98">
      <w:pPr>
        <w:pStyle w:val="BodyText"/>
        <w:tabs>
          <w:tab w:val="left" w:pos="540"/>
          <w:tab w:val="left" w:pos="1620"/>
        </w:tabs>
      </w:pPr>
      <w:r>
        <w:t xml:space="preserve">Deposit and </w:t>
      </w:r>
      <w:proofErr w:type="spellStart"/>
      <w:r>
        <w:t>nondeposit</w:t>
      </w:r>
      <w:proofErr w:type="spellEnd"/>
      <w:r>
        <w:t xml:space="preserve"> liabilities tend to have shorter maturit</w:t>
      </w:r>
      <w:r w:rsidR="00514F6B">
        <w:t xml:space="preserve">ies than assets such as loans. </w:t>
      </w:r>
      <w:r>
        <w:t>The maturity mismatch creates varying degrees of interest rate risk and liquidity risk.</w:t>
      </w:r>
    </w:p>
    <w:p w:rsidR="00014C98" w:rsidRDefault="00014C98">
      <w:pPr>
        <w:pStyle w:val="BodyText"/>
        <w:tabs>
          <w:tab w:val="left" w:pos="540"/>
          <w:tab w:val="left" w:pos="1620"/>
        </w:tabs>
        <w:ind w:left="540" w:hanging="540"/>
      </w:pPr>
    </w:p>
    <w:p w:rsidR="00014C98" w:rsidRDefault="00014C98">
      <w:pPr>
        <w:pStyle w:val="BodyText"/>
        <w:tabs>
          <w:tab w:val="left" w:pos="540"/>
          <w:tab w:val="left" w:pos="1620"/>
        </w:tabs>
        <w:ind w:left="540" w:hanging="540"/>
      </w:pPr>
      <w:r>
        <w:t>8.</w:t>
      </w:r>
      <w:r>
        <w:tab/>
        <w:t xml:space="preserve">The following balance sheet accounts </w:t>
      </w:r>
      <w:r w:rsidR="003824B5">
        <w:t xml:space="preserve">(in millions of dollars) </w:t>
      </w:r>
      <w:r>
        <w:t xml:space="preserve">have been taken from the </w:t>
      </w:r>
      <w:r w:rsidR="00514F6B">
        <w:t xml:space="preserve">annual report for a U.S. bank. </w:t>
      </w:r>
      <w:r>
        <w:t>Arrange the accounts in balance sheet order and determine the value of total assets.  Based on the balance sheet structure, would you classify this bank as a community bank, regional bank, or money center bank?</w:t>
      </w:r>
    </w:p>
    <w:p w:rsidR="008A1F5A" w:rsidRDefault="008A1F5A">
      <w:pPr>
        <w:rPr>
          <w:sz w:val="24"/>
        </w:rPr>
      </w:pPr>
      <w:r>
        <w:rPr>
          <w:sz w:val="24"/>
        </w:rPr>
        <w:br w:type="page"/>
      </w:r>
    </w:p>
    <w:p w:rsidR="00014C98" w:rsidRDefault="00014C98">
      <w:pPr>
        <w:tabs>
          <w:tab w:val="left" w:pos="1080"/>
          <w:tab w:val="left" w:pos="1620"/>
        </w:tabs>
        <w:rPr>
          <w:sz w:val="24"/>
        </w:rPr>
      </w:pPr>
    </w:p>
    <w:tbl>
      <w:tblPr>
        <w:tblW w:w="0" w:type="auto"/>
        <w:tblLayout w:type="fixed"/>
        <w:tblCellMar>
          <w:left w:w="30" w:type="dxa"/>
          <w:right w:w="30" w:type="dxa"/>
        </w:tblCellMar>
        <w:tblLook w:val="0000" w:firstRow="0" w:lastRow="0" w:firstColumn="0" w:lastColumn="0" w:noHBand="0" w:noVBand="0"/>
      </w:tblPr>
      <w:tblGrid>
        <w:gridCol w:w="1008"/>
        <w:gridCol w:w="1070"/>
        <w:gridCol w:w="960"/>
        <w:gridCol w:w="960"/>
        <w:gridCol w:w="1071"/>
        <w:gridCol w:w="1008"/>
        <w:gridCol w:w="254"/>
        <w:gridCol w:w="960"/>
        <w:gridCol w:w="960"/>
      </w:tblGrid>
      <w:tr w:rsidR="00014C98">
        <w:trPr>
          <w:trHeight w:val="250"/>
        </w:trPr>
        <w:tc>
          <w:tcPr>
            <w:tcW w:w="1008" w:type="dxa"/>
          </w:tcPr>
          <w:p w:rsidR="00014C98" w:rsidRDefault="00014C98">
            <w:pPr>
              <w:jc w:val="center"/>
              <w:rPr>
                <w:rFonts w:ascii="Arial" w:hAnsi="Arial"/>
                <w:snapToGrid w:val="0"/>
                <w:color w:val="000000"/>
              </w:rPr>
            </w:pPr>
          </w:p>
        </w:tc>
        <w:tc>
          <w:tcPr>
            <w:tcW w:w="1070" w:type="dxa"/>
          </w:tcPr>
          <w:p w:rsidR="00014C98" w:rsidRDefault="00014C98">
            <w:pPr>
              <w:rPr>
                <w:rFonts w:ascii="Arial" w:hAnsi="Arial"/>
                <w:snapToGrid w:val="0"/>
                <w:color w:val="000000"/>
                <w:u w:val="single"/>
              </w:rPr>
            </w:pPr>
            <w:r>
              <w:rPr>
                <w:rFonts w:ascii="Arial" w:hAnsi="Arial"/>
                <w:snapToGrid w:val="0"/>
                <w:color w:val="000000"/>
                <w:u w:val="single"/>
              </w:rPr>
              <w:t>Assets</w:t>
            </w:r>
          </w:p>
        </w:tc>
        <w:tc>
          <w:tcPr>
            <w:tcW w:w="960" w:type="dxa"/>
          </w:tcPr>
          <w:p w:rsidR="00014C98" w:rsidRDefault="00014C98">
            <w:pPr>
              <w:jc w:val="right"/>
              <w:rPr>
                <w:rFonts w:ascii="Arial" w:hAnsi="Arial"/>
                <w:snapToGrid w:val="0"/>
                <w:color w:val="000000"/>
              </w:rPr>
            </w:pPr>
          </w:p>
        </w:tc>
        <w:tc>
          <w:tcPr>
            <w:tcW w:w="960" w:type="dxa"/>
          </w:tcPr>
          <w:p w:rsidR="00014C98" w:rsidRDefault="00014C98">
            <w:pPr>
              <w:jc w:val="right"/>
              <w:rPr>
                <w:rFonts w:ascii="Arial" w:hAnsi="Arial"/>
                <w:snapToGrid w:val="0"/>
                <w:color w:val="000000"/>
              </w:rPr>
            </w:pPr>
          </w:p>
        </w:tc>
        <w:tc>
          <w:tcPr>
            <w:tcW w:w="1071" w:type="dxa"/>
          </w:tcPr>
          <w:p w:rsidR="00014C98" w:rsidRDefault="00014C98">
            <w:pPr>
              <w:jc w:val="right"/>
              <w:rPr>
                <w:rFonts w:ascii="Arial" w:hAnsi="Arial"/>
                <w:snapToGrid w:val="0"/>
                <w:color w:val="000000"/>
              </w:rPr>
            </w:pPr>
          </w:p>
        </w:tc>
        <w:tc>
          <w:tcPr>
            <w:tcW w:w="2222" w:type="dxa"/>
            <w:gridSpan w:val="3"/>
          </w:tcPr>
          <w:p w:rsidR="00014C98" w:rsidRDefault="00014C98">
            <w:pPr>
              <w:rPr>
                <w:rFonts w:ascii="Arial" w:hAnsi="Arial"/>
                <w:snapToGrid w:val="0"/>
                <w:color w:val="000000"/>
                <w:u w:val="single"/>
              </w:rPr>
            </w:pPr>
            <w:r>
              <w:rPr>
                <w:rFonts w:ascii="Arial" w:hAnsi="Arial"/>
                <w:snapToGrid w:val="0"/>
                <w:color w:val="000000"/>
                <w:u w:val="single"/>
              </w:rPr>
              <w:t>Liabilities and Equity</w:t>
            </w:r>
          </w:p>
        </w:tc>
        <w:tc>
          <w:tcPr>
            <w:tcW w:w="960" w:type="dxa"/>
          </w:tcPr>
          <w:p w:rsidR="00014C98" w:rsidRDefault="00014C98">
            <w:pPr>
              <w:jc w:val="right"/>
              <w:rPr>
                <w:rFonts w:ascii="Arial" w:hAnsi="Arial"/>
                <w:snapToGrid w:val="0"/>
                <w:color w:val="000000"/>
              </w:rPr>
            </w:pPr>
          </w:p>
        </w:tc>
      </w:tr>
      <w:tr w:rsidR="00014C98">
        <w:trPr>
          <w:trHeight w:val="250"/>
        </w:trPr>
        <w:tc>
          <w:tcPr>
            <w:tcW w:w="1008" w:type="dxa"/>
          </w:tcPr>
          <w:p w:rsidR="00014C98" w:rsidRDefault="00014C98">
            <w:pPr>
              <w:jc w:val="right"/>
              <w:rPr>
                <w:rFonts w:ascii="Arial" w:hAnsi="Arial"/>
                <w:snapToGrid w:val="0"/>
                <w:color w:val="000000"/>
              </w:rPr>
            </w:pPr>
          </w:p>
        </w:tc>
        <w:tc>
          <w:tcPr>
            <w:tcW w:w="1070" w:type="dxa"/>
          </w:tcPr>
          <w:p w:rsidR="00014C98" w:rsidRDefault="00014C98">
            <w:pPr>
              <w:rPr>
                <w:rFonts w:ascii="Arial" w:hAnsi="Arial"/>
                <w:snapToGrid w:val="0"/>
                <w:color w:val="000000"/>
              </w:rPr>
            </w:pPr>
            <w:r>
              <w:rPr>
                <w:rFonts w:ascii="Arial" w:hAnsi="Arial"/>
                <w:snapToGrid w:val="0"/>
                <w:color w:val="000000"/>
              </w:rPr>
              <w:t>Cash</w:t>
            </w:r>
          </w:p>
        </w:tc>
        <w:tc>
          <w:tcPr>
            <w:tcW w:w="960" w:type="dxa"/>
          </w:tcPr>
          <w:p w:rsidR="00014C98" w:rsidRDefault="00014C98">
            <w:pPr>
              <w:jc w:val="right"/>
              <w:rPr>
                <w:rFonts w:ascii="Arial" w:hAnsi="Arial"/>
                <w:snapToGrid w:val="0"/>
                <w:color w:val="000000"/>
              </w:rPr>
            </w:pPr>
          </w:p>
        </w:tc>
        <w:tc>
          <w:tcPr>
            <w:tcW w:w="960" w:type="dxa"/>
          </w:tcPr>
          <w:p w:rsidR="00014C98" w:rsidRDefault="00014C98">
            <w:pPr>
              <w:jc w:val="right"/>
              <w:rPr>
                <w:rFonts w:ascii="Arial" w:hAnsi="Arial"/>
                <w:snapToGrid w:val="0"/>
                <w:color w:val="000000"/>
              </w:rPr>
            </w:pPr>
            <w:r>
              <w:rPr>
                <w:rFonts w:ascii="Arial" w:hAnsi="Arial"/>
                <w:snapToGrid w:val="0"/>
                <w:color w:val="000000"/>
              </w:rPr>
              <w:t xml:space="preserve"> $  2,660 </w:t>
            </w:r>
          </w:p>
        </w:tc>
        <w:tc>
          <w:tcPr>
            <w:tcW w:w="1071" w:type="dxa"/>
          </w:tcPr>
          <w:p w:rsidR="00014C98" w:rsidRDefault="00014C98">
            <w:pPr>
              <w:jc w:val="right"/>
              <w:rPr>
                <w:rFonts w:ascii="Arial" w:hAnsi="Arial"/>
                <w:snapToGrid w:val="0"/>
                <w:color w:val="000000"/>
              </w:rPr>
            </w:pPr>
          </w:p>
        </w:tc>
        <w:tc>
          <w:tcPr>
            <w:tcW w:w="2222" w:type="dxa"/>
            <w:gridSpan w:val="3"/>
          </w:tcPr>
          <w:p w:rsidR="00014C98" w:rsidRDefault="00014C98">
            <w:pPr>
              <w:rPr>
                <w:rFonts w:ascii="Arial" w:hAnsi="Arial"/>
                <w:snapToGrid w:val="0"/>
                <w:color w:val="000000"/>
              </w:rPr>
            </w:pPr>
            <w:r>
              <w:rPr>
                <w:rFonts w:ascii="Arial" w:hAnsi="Arial"/>
                <w:snapToGrid w:val="0"/>
                <w:color w:val="000000"/>
              </w:rPr>
              <w:t>Demand deposits</w:t>
            </w:r>
          </w:p>
        </w:tc>
        <w:tc>
          <w:tcPr>
            <w:tcW w:w="960" w:type="dxa"/>
          </w:tcPr>
          <w:p w:rsidR="00014C98" w:rsidRDefault="00014C98">
            <w:pPr>
              <w:jc w:val="right"/>
              <w:rPr>
                <w:rFonts w:ascii="Arial" w:hAnsi="Arial"/>
                <w:snapToGrid w:val="0"/>
                <w:color w:val="000000"/>
              </w:rPr>
            </w:pPr>
            <w:r>
              <w:rPr>
                <w:rFonts w:ascii="Arial" w:hAnsi="Arial"/>
                <w:snapToGrid w:val="0"/>
                <w:color w:val="000000"/>
              </w:rPr>
              <w:t xml:space="preserve"> $  5,939 </w:t>
            </w:r>
          </w:p>
        </w:tc>
      </w:tr>
      <w:tr w:rsidR="00014C98">
        <w:trPr>
          <w:trHeight w:val="250"/>
        </w:trPr>
        <w:tc>
          <w:tcPr>
            <w:tcW w:w="1008" w:type="dxa"/>
          </w:tcPr>
          <w:p w:rsidR="00014C98" w:rsidRDefault="00014C98">
            <w:pPr>
              <w:jc w:val="right"/>
              <w:rPr>
                <w:rFonts w:ascii="Arial" w:hAnsi="Arial"/>
                <w:snapToGrid w:val="0"/>
                <w:color w:val="000000"/>
              </w:rPr>
            </w:pPr>
          </w:p>
        </w:tc>
        <w:tc>
          <w:tcPr>
            <w:tcW w:w="2030" w:type="dxa"/>
            <w:gridSpan w:val="2"/>
          </w:tcPr>
          <w:p w:rsidR="00014C98" w:rsidRDefault="00014C98">
            <w:pPr>
              <w:rPr>
                <w:rFonts w:ascii="Arial" w:hAnsi="Arial"/>
                <w:snapToGrid w:val="0"/>
                <w:color w:val="000000"/>
              </w:rPr>
            </w:pPr>
            <w:r>
              <w:rPr>
                <w:rFonts w:ascii="Arial" w:hAnsi="Arial"/>
                <w:snapToGrid w:val="0"/>
                <w:color w:val="000000"/>
              </w:rPr>
              <w:t>Fed funds sold</w:t>
            </w:r>
          </w:p>
        </w:tc>
        <w:tc>
          <w:tcPr>
            <w:tcW w:w="960" w:type="dxa"/>
          </w:tcPr>
          <w:p w:rsidR="00014C98" w:rsidRDefault="00014C98" w:rsidP="00FD0EE6">
            <w:pPr>
              <w:jc w:val="right"/>
              <w:rPr>
                <w:rFonts w:ascii="Arial" w:hAnsi="Arial"/>
                <w:snapToGrid w:val="0"/>
                <w:color w:val="000000"/>
              </w:rPr>
            </w:pPr>
            <w:r>
              <w:rPr>
                <w:rFonts w:ascii="Arial" w:hAnsi="Arial"/>
                <w:snapToGrid w:val="0"/>
                <w:color w:val="000000"/>
              </w:rPr>
              <w:t xml:space="preserve">      110 </w:t>
            </w:r>
          </w:p>
        </w:tc>
        <w:tc>
          <w:tcPr>
            <w:tcW w:w="1071" w:type="dxa"/>
          </w:tcPr>
          <w:p w:rsidR="00014C98" w:rsidRDefault="00014C98">
            <w:pPr>
              <w:jc w:val="right"/>
              <w:rPr>
                <w:rFonts w:ascii="Arial" w:hAnsi="Arial"/>
                <w:snapToGrid w:val="0"/>
                <w:color w:val="000000"/>
              </w:rPr>
            </w:pPr>
          </w:p>
        </w:tc>
        <w:tc>
          <w:tcPr>
            <w:tcW w:w="2222" w:type="dxa"/>
            <w:gridSpan w:val="3"/>
          </w:tcPr>
          <w:p w:rsidR="00014C98" w:rsidRDefault="00014C98">
            <w:pPr>
              <w:rPr>
                <w:rFonts w:ascii="Arial" w:hAnsi="Arial"/>
                <w:snapToGrid w:val="0"/>
                <w:color w:val="000000"/>
              </w:rPr>
            </w:pPr>
            <w:r>
              <w:rPr>
                <w:rFonts w:ascii="Arial" w:hAnsi="Arial"/>
                <w:snapToGrid w:val="0"/>
                <w:color w:val="000000"/>
              </w:rPr>
              <w:t>NOW accounts</w:t>
            </w:r>
          </w:p>
        </w:tc>
        <w:tc>
          <w:tcPr>
            <w:tcW w:w="960" w:type="dxa"/>
          </w:tcPr>
          <w:p w:rsidR="00014C98" w:rsidRDefault="00FD0EE6">
            <w:pPr>
              <w:jc w:val="right"/>
              <w:rPr>
                <w:rFonts w:ascii="Arial" w:hAnsi="Arial"/>
                <w:snapToGrid w:val="0"/>
                <w:color w:val="000000"/>
              </w:rPr>
            </w:pPr>
            <w:r>
              <w:rPr>
                <w:rFonts w:ascii="Arial" w:hAnsi="Arial"/>
                <w:snapToGrid w:val="0"/>
                <w:color w:val="000000"/>
              </w:rPr>
              <w:t xml:space="preserve"> </w:t>
            </w:r>
            <w:r w:rsidR="00014C98">
              <w:rPr>
                <w:rFonts w:ascii="Arial" w:hAnsi="Arial"/>
                <w:snapToGrid w:val="0"/>
                <w:color w:val="000000"/>
              </w:rPr>
              <w:t xml:space="preserve">12,816 </w:t>
            </w:r>
          </w:p>
        </w:tc>
      </w:tr>
      <w:tr w:rsidR="00014C98">
        <w:trPr>
          <w:trHeight w:val="250"/>
        </w:trPr>
        <w:tc>
          <w:tcPr>
            <w:tcW w:w="1008" w:type="dxa"/>
          </w:tcPr>
          <w:p w:rsidR="00014C98" w:rsidRDefault="00014C98">
            <w:pPr>
              <w:jc w:val="right"/>
              <w:rPr>
                <w:rFonts w:ascii="Arial" w:hAnsi="Arial"/>
                <w:snapToGrid w:val="0"/>
                <w:color w:val="000000"/>
              </w:rPr>
            </w:pPr>
          </w:p>
        </w:tc>
        <w:tc>
          <w:tcPr>
            <w:tcW w:w="2030" w:type="dxa"/>
            <w:gridSpan w:val="2"/>
          </w:tcPr>
          <w:p w:rsidR="00014C98" w:rsidRDefault="00014C98">
            <w:pPr>
              <w:rPr>
                <w:rFonts w:ascii="Arial" w:hAnsi="Arial"/>
                <w:snapToGrid w:val="0"/>
                <w:color w:val="000000"/>
              </w:rPr>
            </w:pPr>
            <w:r>
              <w:rPr>
                <w:rFonts w:ascii="Arial" w:hAnsi="Arial"/>
                <w:snapToGrid w:val="0"/>
                <w:color w:val="000000"/>
              </w:rPr>
              <w:t>Investment securities</w:t>
            </w:r>
          </w:p>
        </w:tc>
        <w:tc>
          <w:tcPr>
            <w:tcW w:w="960" w:type="dxa"/>
          </w:tcPr>
          <w:p w:rsidR="00014C98" w:rsidRDefault="00FD0EE6">
            <w:pPr>
              <w:jc w:val="right"/>
              <w:rPr>
                <w:rFonts w:ascii="Arial" w:hAnsi="Arial"/>
                <w:snapToGrid w:val="0"/>
                <w:color w:val="000000"/>
              </w:rPr>
            </w:pPr>
            <w:r>
              <w:rPr>
                <w:rFonts w:ascii="Arial" w:hAnsi="Arial"/>
                <w:snapToGrid w:val="0"/>
                <w:color w:val="000000"/>
              </w:rPr>
              <w:t xml:space="preserve"> </w:t>
            </w:r>
            <w:r w:rsidR="00014C98">
              <w:rPr>
                <w:rFonts w:ascii="Arial" w:hAnsi="Arial"/>
                <w:snapToGrid w:val="0"/>
                <w:color w:val="000000"/>
              </w:rPr>
              <w:t xml:space="preserve">  5,334 </w:t>
            </w:r>
          </w:p>
        </w:tc>
        <w:tc>
          <w:tcPr>
            <w:tcW w:w="1071" w:type="dxa"/>
          </w:tcPr>
          <w:p w:rsidR="00014C98" w:rsidRDefault="00014C98">
            <w:pPr>
              <w:jc w:val="right"/>
              <w:rPr>
                <w:rFonts w:ascii="Arial" w:hAnsi="Arial"/>
                <w:snapToGrid w:val="0"/>
                <w:color w:val="000000"/>
              </w:rPr>
            </w:pPr>
          </w:p>
        </w:tc>
        <w:tc>
          <w:tcPr>
            <w:tcW w:w="2222" w:type="dxa"/>
            <w:gridSpan w:val="3"/>
          </w:tcPr>
          <w:p w:rsidR="00014C98" w:rsidRDefault="00014C98">
            <w:pPr>
              <w:rPr>
                <w:rFonts w:ascii="Arial" w:hAnsi="Arial"/>
                <w:snapToGrid w:val="0"/>
                <w:color w:val="000000"/>
              </w:rPr>
            </w:pPr>
            <w:r>
              <w:rPr>
                <w:rFonts w:ascii="Arial" w:hAnsi="Arial"/>
                <w:snapToGrid w:val="0"/>
                <w:color w:val="000000"/>
              </w:rPr>
              <w:t>Savings deposits</w:t>
            </w:r>
          </w:p>
        </w:tc>
        <w:tc>
          <w:tcPr>
            <w:tcW w:w="960" w:type="dxa"/>
          </w:tcPr>
          <w:p w:rsidR="00014C98" w:rsidRDefault="00FD0EE6">
            <w:pPr>
              <w:jc w:val="right"/>
              <w:rPr>
                <w:rFonts w:ascii="Arial" w:hAnsi="Arial"/>
                <w:snapToGrid w:val="0"/>
                <w:color w:val="000000"/>
              </w:rPr>
            </w:pPr>
            <w:r>
              <w:rPr>
                <w:rFonts w:ascii="Arial" w:hAnsi="Arial"/>
                <w:snapToGrid w:val="0"/>
                <w:color w:val="000000"/>
              </w:rPr>
              <w:t xml:space="preserve"> </w:t>
            </w:r>
            <w:r w:rsidR="00014C98">
              <w:rPr>
                <w:rFonts w:ascii="Arial" w:hAnsi="Arial"/>
                <w:snapToGrid w:val="0"/>
                <w:color w:val="000000"/>
              </w:rPr>
              <w:t xml:space="preserve">  3,292 </w:t>
            </w:r>
          </w:p>
        </w:tc>
      </w:tr>
      <w:tr w:rsidR="00014C98">
        <w:trPr>
          <w:trHeight w:val="250"/>
        </w:trPr>
        <w:tc>
          <w:tcPr>
            <w:tcW w:w="1008" w:type="dxa"/>
          </w:tcPr>
          <w:p w:rsidR="00014C98" w:rsidRDefault="00014C98">
            <w:pPr>
              <w:jc w:val="right"/>
              <w:rPr>
                <w:rFonts w:ascii="Arial" w:hAnsi="Arial"/>
                <w:snapToGrid w:val="0"/>
                <w:color w:val="000000"/>
              </w:rPr>
            </w:pPr>
          </w:p>
        </w:tc>
        <w:tc>
          <w:tcPr>
            <w:tcW w:w="1070" w:type="dxa"/>
          </w:tcPr>
          <w:p w:rsidR="00014C98" w:rsidRDefault="00014C98">
            <w:pPr>
              <w:rPr>
                <w:rFonts w:ascii="Arial" w:hAnsi="Arial"/>
                <w:snapToGrid w:val="0"/>
                <w:color w:val="000000"/>
              </w:rPr>
            </w:pPr>
            <w:r>
              <w:rPr>
                <w:rFonts w:ascii="Arial" w:hAnsi="Arial"/>
                <w:snapToGrid w:val="0"/>
                <w:color w:val="000000"/>
              </w:rPr>
              <w:t>Net loans</w:t>
            </w:r>
          </w:p>
        </w:tc>
        <w:tc>
          <w:tcPr>
            <w:tcW w:w="960" w:type="dxa"/>
          </w:tcPr>
          <w:p w:rsidR="00014C98" w:rsidRDefault="00014C98">
            <w:pPr>
              <w:jc w:val="right"/>
              <w:rPr>
                <w:rFonts w:ascii="Arial" w:hAnsi="Arial"/>
                <w:snapToGrid w:val="0"/>
                <w:color w:val="000000"/>
              </w:rPr>
            </w:pPr>
          </w:p>
        </w:tc>
        <w:tc>
          <w:tcPr>
            <w:tcW w:w="960" w:type="dxa"/>
          </w:tcPr>
          <w:p w:rsidR="00014C98" w:rsidRDefault="00FD0EE6">
            <w:pPr>
              <w:jc w:val="right"/>
              <w:rPr>
                <w:rFonts w:ascii="Arial" w:hAnsi="Arial"/>
                <w:snapToGrid w:val="0"/>
                <w:color w:val="000000"/>
              </w:rPr>
            </w:pPr>
            <w:r>
              <w:rPr>
                <w:rFonts w:ascii="Arial" w:hAnsi="Arial"/>
                <w:snapToGrid w:val="0"/>
                <w:color w:val="000000"/>
              </w:rPr>
              <w:t xml:space="preserve"> </w:t>
            </w:r>
            <w:r w:rsidR="00014C98">
              <w:rPr>
                <w:rFonts w:ascii="Arial" w:hAnsi="Arial"/>
                <w:snapToGrid w:val="0"/>
                <w:color w:val="000000"/>
              </w:rPr>
              <w:t xml:space="preserve">29,981 </w:t>
            </w:r>
          </w:p>
        </w:tc>
        <w:tc>
          <w:tcPr>
            <w:tcW w:w="1071" w:type="dxa"/>
          </w:tcPr>
          <w:p w:rsidR="00014C98" w:rsidRDefault="00014C98">
            <w:pPr>
              <w:jc w:val="right"/>
              <w:rPr>
                <w:rFonts w:ascii="Arial" w:hAnsi="Arial"/>
                <w:snapToGrid w:val="0"/>
                <w:color w:val="000000"/>
              </w:rPr>
            </w:pPr>
          </w:p>
        </w:tc>
        <w:tc>
          <w:tcPr>
            <w:tcW w:w="2222" w:type="dxa"/>
            <w:gridSpan w:val="3"/>
          </w:tcPr>
          <w:p w:rsidR="00014C98" w:rsidRDefault="00014C98">
            <w:pPr>
              <w:rPr>
                <w:rFonts w:ascii="Arial" w:hAnsi="Arial"/>
                <w:snapToGrid w:val="0"/>
                <w:color w:val="000000"/>
              </w:rPr>
            </w:pPr>
            <w:r>
              <w:rPr>
                <w:rFonts w:ascii="Arial" w:hAnsi="Arial"/>
                <w:snapToGrid w:val="0"/>
                <w:color w:val="000000"/>
              </w:rPr>
              <w:t>Certificates of deposit</w:t>
            </w:r>
          </w:p>
          <w:p w:rsidR="009D28BF" w:rsidRDefault="009D28BF">
            <w:pPr>
              <w:rPr>
                <w:rFonts w:ascii="Arial" w:hAnsi="Arial"/>
                <w:snapToGrid w:val="0"/>
                <w:color w:val="000000"/>
              </w:rPr>
            </w:pPr>
            <w:r>
              <w:rPr>
                <w:rFonts w:ascii="Arial" w:hAnsi="Arial"/>
                <w:snapToGrid w:val="0"/>
                <w:color w:val="000000"/>
              </w:rPr>
              <w:t xml:space="preserve">  (under $100,000)</w:t>
            </w:r>
          </w:p>
        </w:tc>
        <w:tc>
          <w:tcPr>
            <w:tcW w:w="960" w:type="dxa"/>
          </w:tcPr>
          <w:p w:rsidR="00014C98" w:rsidRDefault="00FD0EE6">
            <w:pPr>
              <w:jc w:val="right"/>
              <w:rPr>
                <w:rFonts w:ascii="Arial" w:hAnsi="Arial"/>
                <w:snapToGrid w:val="0"/>
                <w:color w:val="000000"/>
              </w:rPr>
            </w:pPr>
            <w:r>
              <w:rPr>
                <w:rFonts w:ascii="Arial" w:hAnsi="Arial"/>
                <w:snapToGrid w:val="0"/>
                <w:color w:val="000000"/>
              </w:rPr>
              <w:t xml:space="preserve"> </w:t>
            </w:r>
            <w:r w:rsidR="00014C98">
              <w:rPr>
                <w:rFonts w:ascii="Arial" w:hAnsi="Arial"/>
                <w:snapToGrid w:val="0"/>
                <w:color w:val="000000"/>
              </w:rPr>
              <w:t xml:space="preserve">  9,853 </w:t>
            </w:r>
          </w:p>
        </w:tc>
      </w:tr>
      <w:tr w:rsidR="00014C98">
        <w:trPr>
          <w:trHeight w:val="250"/>
        </w:trPr>
        <w:tc>
          <w:tcPr>
            <w:tcW w:w="1008" w:type="dxa"/>
          </w:tcPr>
          <w:p w:rsidR="00014C98" w:rsidRDefault="00014C98">
            <w:pPr>
              <w:jc w:val="right"/>
              <w:rPr>
                <w:rFonts w:ascii="Arial" w:hAnsi="Arial"/>
                <w:snapToGrid w:val="0"/>
                <w:color w:val="000000"/>
              </w:rPr>
            </w:pPr>
          </w:p>
        </w:tc>
        <w:tc>
          <w:tcPr>
            <w:tcW w:w="2030" w:type="dxa"/>
            <w:gridSpan w:val="2"/>
          </w:tcPr>
          <w:p w:rsidR="00014C98" w:rsidRDefault="00014C98">
            <w:pPr>
              <w:rPr>
                <w:rFonts w:ascii="Arial" w:hAnsi="Arial"/>
                <w:snapToGrid w:val="0"/>
                <w:color w:val="000000"/>
              </w:rPr>
            </w:pPr>
            <w:r>
              <w:rPr>
                <w:rFonts w:ascii="Arial" w:hAnsi="Arial"/>
                <w:snapToGrid w:val="0"/>
                <w:color w:val="000000"/>
              </w:rPr>
              <w:t>Intangible assets</w:t>
            </w:r>
          </w:p>
        </w:tc>
        <w:tc>
          <w:tcPr>
            <w:tcW w:w="960" w:type="dxa"/>
          </w:tcPr>
          <w:p w:rsidR="00014C98" w:rsidRDefault="00FD0EE6">
            <w:pPr>
              <w:jc w:val="right"/>
              <w:rPr>
                <w:rFonts w:ascii="Arial" w:hAnsi="Arial"/>
                <w:snapToGrid w:val="0"/>
                <w:color w:val="000000"/>
              </w:rPr>
            </w:pPr>
            <w:r>
              <w:rPr>
                <w:rFonts w:ascii="Arial" w:hAnsi="Arial"/>
                <w:snapToGrid w:val="0"/>
                <w:color w:val="000000"/>
              </w:rPr>
              <w:t xml:space="preserve"> </w:t>
            </w:r>
            <w:r w:rsidR="00014C98">
              <w:rPr>
                <w:rFonts w:ascii="Arial" w:hAnsi="Arial"/>
                <w:snapToGrid w:val="0"/>
                <w:color w:val="000000"/>
              </w:rPr>
              <w:t xml:space="preserve">     758 </w:t>
            </w:r>
          </w:p>
        </w:tc>
        <w:tc>
          <w:tcPr>
            <w:tcW w:w="1071" w:type="dxa"/>
          </w:tcPr>
          <w:p w:rsidR="00014C98" w:rsidRDefault="00014C98">
            <w:pPr>
              <w:jc w:val="right"/>
              <w:rPr>
                <w:rFonts w:ascii="Arial" w:hAnsi="Arial"/>
                <w:snapToGrid w:val="0"/>
                <w:color w:val="000000"/>
              </w:rPr>
            </w:pPr>
          </w:p>
        </w:tc>
        <w:tc>
          <w:tcPr>
            <w:tcW w:w="2222" w:type="dxa"/>
            <w:gridSpan w:val="3"/>
          </w:tcPr>
          <w:p w:rsidR="00014C98" w:rsidRDefault="00014C98">
            <w:pPr>
              <w:rPr>
                <w:rFonts w:ascii="Arial" w:hAnsi="Arial"/>
                <w:snapToGrid w:val="0"/>
                <w:color w:val="000000"/>
              </w:rPr>
            </w:pPr>
            <w:r>
              <w:rPr>
                <w:rFonts w:ascii="Arial" w:hAnsi="Arial"/>
                <w:snapToGrid w:val="0"/>
                <w:color w:val="000000"/>
              </w:rPr>
              <w:t>Other time deposits</w:t>
            </w:r>
          </w:p>
        </w:tc>
        <w:tc>
          <w:tcPr>
            <w:tcW w:w="960" w:type="dxa"/>
          </w:tcPr>
          <w:p w:rsidR="00014C98" w:rsidRDefault="00FD0EE6">
            <w:pPr>
              <w:jc w:val="right"/>
              <w:rPr>
                <w:rFonts w:ascii="Arial" w:hAnsi="Arial"/>
                <w:snapToGrid w:val="0"/>
                <w:color w:val="000000"/>
              </w:rPr>
            </w:pPr>
            <w:r>
              <w:rPr>
                <w:rFonts w:ascii="Arial" w:hAnsi="Arial"/>
                <w:snapToGrid w:val="0"/>
                <w:color w:val="000000"/>
              </w:rPr>
              <w:t xml:space="preserve"> </w:t>
            </w:r>
            <w:r w:rsidR="00014C98">
              <w:rPr>
                <w:rFonts w:ascii="Arial" w:hAnsi="Arial"/>
                <w:snapToGrid w:val="0"/>
                <w:color w:val="000000"/>
              </w:rPr>
              <w:t xml:space="preserve">  2,333 </w:t>
            </w:r>
          </w:p>
        </w:tc>
      </w:tr>
      <w:tr w:rsidR="00014C98">
        <w:trPr>
          <w:trHeight w:val="250"/>
        </w:trPr>
        <w:tc>
          <w:tcPr>
            <w:tcW w:w="1008" w:type="dxa"/>
          </w:tcPr>
          <w:p w:rsidR="00014C98" w:rsidRDefault="00014C98">
            <w:pPr>
              <w:jc w:val="right"/>
              <w:rPr>
                <w:rFonts w:ascii="Arial" w:hAnsi="Arial"/>
                <w:snapToGrid w:val="0"/>
                <w:color w:val="000000"/>
              </w:rPr>
            </w:pPr>
          </w:p>
        </w:tc>
        <w:tc>
          <w:tcPr>
            <w:tcW w:w="2030" w:type="dxa"/>
            <w:gridSpan w:val="2"/>
          </w:tcPr>
          <w:p w:rsidR="00014C98" w:rsidRDefault="00014C98">
            <w:pPr>
              <w:rPr>
                <w:rFonts w:ascii="Arial" w:hAnsi="Arial"/>
                <w:snapToGrid w:val="0"/>
                <w:color w:val="000000"/>
              </w:rPr>
            </w:pPr>
            <w:r>
              <w:rPr>
                <w:rFonts w:ascii="Arial" w:hAnsi="Arial"/>
                <w:snapToGrid w:val="0"/>
                <w:color w:val="000000"/>
              </w:rPr>
              <w:t>Other assets</w:t>
            </w:r>
          </w:p>
        </w:tc>
        <w:tc>
          <w:tcPr>
            <w:tcW w:w="960" w:type="dxa"/>
          </w:tcPr>
          <w:p w:rsidR="00014C98" w:rsidRDefault="00FD0EE6">
            <w:pPr>
              <w:jc w:val="right"/>
              <w:rPr>
                <w:rFonts w:ascii="Arial" w:hAnsi="Arial"/>
                <w:snapToGrid w:val="0"/>
                <w:color w:val="000000"/>
              </w:rPr>
            </w:pPr>
            <w:r>
              <w:rPr>
                <w:rFonts w:ascii="Arial" w:hAnsi="Arial"/>
                <w:snapToGrid w:val="0"/>
                <w:color w:val="000000"/>
              </w:rPr>
              <w:t xml:space="preserve"> </w:t>
            </w:r>
            <w:r w:rsidR="00014C98">
              <w:rPr>
                <w:rFonts w:ascii="Arial" w:hAnsi="Arial"/>
                <w:snapToGrid w:val="0"/>
                <w:color w:val="000000"/>
              </w:rPr>
              <w:t xml:space="preserve">  1,633 </w:t>
            </w:r>
          </w:p>
        </w:tc>
        <w:tc>
          <w:tcPr>
            <w:tcW w:w="1071" w:type="dxa"/>
          </w:tcPr>
          <w:p w:rsidR="00014C98" w:rsidRDefault="00014C98">
            <w:pPr>
              <w:jc w:val="right"/>
              <w:rPr>
                <w:rFonts w:ascii="Arial" w:hAnsi="Arial"/>
                <w:snapToGrid w:val="0"/>
                <w:color w:val="000000"/>
              </w:rPr>
            </w:pPr>
          </w:p>
        </w:tc>
        <w:tc>
          <w:tcPr>
            <w:tcW w:w="2222" w:type="dxa"/>
            <w:gridSpan w:val="3"/>
          </w:tcPr>
          <w:p w:rsidR="00014C98" w:rsidRDefault="00FD0EE6">
            <w:pPr>
              <w:rPr>
                <w:rFonts w:ascii="Arial" w:hAnsi="Arial"/>
                <w:snapToGrid w:val="0"/>
                <w:color w:val="000000"/>
              </w:rPr>
            </w:pPr>
            <w:r>
              <w:rPr>
                <w:rFonts w:ascii="Arial" w:hAnsi="Arial"/>
                <w:snapToGrid w:val="0"/>
                <w:color w:val="000000"/>
              </w:rPr>
              <w:t>Short-term b</w:t>
            </w:r>
            <w:r w:rsidR="00014C98">
              <w:rPr>
                <w:rFonts w:ascii="Arial" w:hAnsi="Arial"/>
                <w:snapToGrid w:val="0"/>
                <w:color w:val="000000"/>
              </w:rPr>
              <w:t>orrowing</w:t>
            </w:r>
          </w:p>
        </w:tc>
        <w:tc>
          <w:tcPr>
            <w:tcW w:w="960" w:type="dxa"/>
          </w:tcPr>
          <w:p w:rsidR="00014C98" w:rsidRDefault="00FD0EE6">
            <w:pPr>
              <w:jc w:val="right"/>
              <w:rPr>
                <w:rFonts w:ascii="Arial" w:hAnsi="Arial"/>
                <w:snapToGrid w:val="0"/>
                <w:color w:val="000000"/>
              </w:rPr>
            </w:pPr>
            <w:r>
              <w:rPr>
                <w:rFonts w:ascii="Arial" w:hAnsi="Arial"/>
                <w:snapToGrid w:val="0"/>
                <w:color w:val="000000"/>
              </w:rPr>
              <w:t xml:space="preserve"> </w:t>
            </w:r>
            <w:r w:rsidR="00014C98">
              <w:rPr>
                <w:rFonts w:ascii="Arial" w:hAnsi="Arial"/>
                <w:snapToGrid w:val="0"/>
                <w:color w:val="000000"/>
              </w:rPr>
              <w:t xml:space="preserve">  2,080 </w:t>
            </w:r>
          </w:p>
        </w:tc>
      </w:tr>
      <w:tr w:rsidR="00014C98">
        <w:trPr>
          <w:trHeight w:val="250"/>
        </w:trPr>
        <w:tc>
          <w:tcPr>
            <w:tcW w:w="1008" w:type="dxa"/>
          </w:tcPr>
          <w:p w:rsidR="00014C98" w:rsidRDefault="00014C98">
            <w:pPr>
              <w:jc w:val="right"/>
              <w:rPr>
                <w:rFonts w:ascii="Arial" w:hAnsi="Arial"/>
                <w:snapToGrid w:val="0"/>
                <w:color w:val="000000"/>
              </w:rPr>
            </w:pPr>
          </w:p>
        </w:tc>
        <w:tc>
          <w:tcPr>
            <w:tcW w:w="1070" w:type="dxa"/>
          </w:tcPr>
          <w:p w:rsidR="00014C98" w:rsidRDefault="00014C98">
            <w:pPr>
              <w:rPr>
                <w:rFonts w:ascii="Arial" w:hAnsi="Arial"/>
                <w:snapToGrid w:val="0"/>
                <w:color w:val="000000"/>
              </w:rPr>
            </w:pPr>
            <w:r>
              <w:rPr>
                <w:rFonts w:ascii="Arial" w:hAnsi="Arial"/>
                <w:snapToGrid w:val="0"/>
                <w:color w:val="000000"/>
              </w:rPr>
              <w:t>Premises</w:t>
            </w:r>
          </w:p>
        </w:tc>
        <w:tc>
          <w:tcPr>
            <w:tcW w:w="960" w:type="dxa"/>
          </w:tcPr>
          <w:p w:rsidR="00014C98" w:rsidRDefault="00014C98">
            <w:pPr>
              <w:jc w:val="right"/>
              <w:rPr>
                <w:rFonts w:ascii="Arial" w:hAnsi="Arial"/>
                <w:snapToGrid w:val="0"/>
                <w:color w:val="000000"/>
              </w:rPr>
            </w:pPr>
          </w:p>
        </w:tc>
        <w:tc>
          <w:tcPr>
            <w:tcW w:w="960" w:type="dxa"/>
          </w:tcPr>
          <w:p w:rsidR="00014C98" w:rsidRDefault="00FD0EE6">
            <w:pPr>
              <w:jc w:val="right"/>
              <w:rPr>
                <w:rFonts w:ascii="Arial" w:hAnsi="Arial"/>
                <w:snapToGrid w:val="0"/>
                <w:color w:val="000000"/>
                <w:u w:val="single"/>
              </w:rPr>
            </w:pPr>
            <w:r>
              <w:rPr>
                <w:rFonts w:ascii="Arial" w:hAnsi="Arial"/>
                <w:snapToGrid w:val="0"/>
                <w:color w:val="000000"/>
                <w:u w:val="single"/>
              </w:rPr>
              <w:t xml:space="preserve"> </w:t>
            </w:r>
            <w:r w:rsidR="00014C98">
              <w:rPr>
                <w:rFonts w:ascii="Arial" w:hAnsi="Arial"/>
                <w:snapToGrid w:val="0"/>
                <w:color w:val="000000"/>
                <w:u w:val="single"/>
              </w:rPr>
              <w:t xml:space="preserve">  1,078 </w:t>
            </w:r>
          </w:p>
        </w:tc>
        <w:tc>
          <w:tcPr>
            <w:tcW w:w="1071" w:type="dxa"/>
          </w:tcPr>
          <w:p w:rsidR="00014C98" w:rsidRDefault="00014C98">
            <w:pPr>
              <w:jc w:val="right"/>
              <w:rPr>
                <w:rFonts w:ascii="Arial" w:hAnsi="Arial"/>
                <w:snapToGrid w:val="0"/>
                <w:color w:val="000000"/>
              </w:rPr>
            </w:pPr>
          </w:p>
        </w:tc>
        <w:tc>
          <w:tcPr>
            <w:tcW w:w="2222" w:type="dxa"/>
            <w:gridSpan w:val="3"/>
          </w:tcPr>
          <w:p w:rsidR="00014C98" w:rsidRDefault="00014C98">
            <w:pPr>
              <w:rPr>
                <w:rFonts w:ascii="Arial" w:hAnsi="Arial"/>
                <w:snapToGrid w:val="0"/>
                <w:color w:val="000000"/>
              </w:rPr>
            </w:pPr>
            <w:r>
              <w:rPr>
                <w:rFonts w:ascii="Arial" w:hAnsi="Arial"/>
                <w:snapToGrid w:val="0"/>
                <w:color w:val="000000"/>
              </w:rPr>
              <w:t>Other liabilities</w:t>
            </w:r>
          </w:p>
        </w:tc>
        <w:tc>
          <w:tcPr>
            <w:tcW w:w="960" w:type="dxa"/>
          </w:tcPr>
          <w:p w:rsidR="00014C98" w:rsidRDefault="00FD0EE6">
            <w:pPr>
              <w:jc w:val="right"/>
              <w:rPr>
                <w:rFonts w:ascii="Arial" w:hAnsi="Arial"/>
                <w:snapToGrid w:val="0"/>
                <w:color w:val="000000"/>
              </w:rPr>
            </w:pPr>
            <w:r>
              <w:rPr>
                <w:rFonts w:ascii="Arial" w:hAnsi="Arial"/>
                <w:snapToGrid w:val="0"/>
                <w:color w:val="000000"/>
              </w:rPr>
              <w:t xml:space="preserve"> </w:t>
            </w:r>
            <w:r w:rsidR="00014C98">
              <w:rPr>
                <w:rFonts w:ascii="Arial" w:hAnsi="Arial"/>
                <w:snapToGrid w:val="0"/>
                <w:color w:val="000000"/>
              </w:rPr>
              <w:t xml:space="preserve">     778 </w:t>
            </w:r>
          </w:p>
        </w:tc>
      </w:tr>
      <w:tr w:rsidR="00014C98">
        <w:trPr>
          <w:trHeight w:val="264"/>
        </w:trPr>
        <w:tc>
          <w:tcPr>
            <w:tcW w:w="1008" w:type="dxa"/>
          </w:tcPr>
          <w:p w:rsidR="00014C98" w:rsidRDefault="00014C98">
            <w:pPr>
              <w:jc w:val="right"/>
              <w:rPr>
                <w:rFonts w:ascii="Arial" w:hAnsi="Arial"/>
                <w:snapToGrid w:val="0"/>
                <w:color w:val="000000"/>
              </w:rPr>
            </w:pPr>
          </w:p>
        </w:tc>
        <w:tc>
          <w:tcPr>
            <w:tcW w:w="2030" w:type="dxa"/>
            <w:gridSpan w:val="2"/>
          </w:tcPr>
          <w:p w:rsidR="00014C98" w:rsidRDefault="00014C98">
            <w:pPr>
              <w:rPr>
                <w:rFonts w:ascii="Arial" w:hAnsi="Arial"/>
                <w:snapToGrid w:val="0"/>
                <w:color w:val="000000"/>
              </w:rPr>
            </w:pPr>
            <w:r>
              <w:rPr>
                <w:rFonts w:ascii="Arial" w:hAnsi="Arial"/>
                <w:snapToGrid w:val="0"/>
                <w:color w:val="000000"/>
              </w:rPr>
              <w:t>Total assets</w:t>
            </w:r>
          </w:p>
        </w:tc>
        <w:tc>
          <w:tcPr>
            <w:tcW w:w="960" w:type="dxa"/>
          </w:tcPr>
          <w:p w:rsidR="00014C98" w:rsidRDefault="00014C98">
            <w:pPr>
              <w:jc w:val="right"/>
              <w:rPr>
                <w:rFonts w:ascii="Arial" w:hAnsi="Arial"/>
                <w:snapToGrid w:val="0"/>
                <w:color w:val="000000"/>
              </w:rPr>
            </w:pPr>
            <w:r>
              <w:rPr>
                <w:rFonts w:ascii="Arial" w:hAnsi="Arial"/>
                <w:snapToGrid w:val="0"/>
                <w:color w:val="000000"/>
              </w:rPr>
              <w:t xml:space="preserve"> $41,554 </w:t>
            </w:r>
          </w:p>
        </w:tc>
        <w:tc>
          <w:tcPr>
            <w:tcW w:w="1071" w:type="dxa"/>
          </w:tcPr>
          <w:p w:rsidR="00014C98" w:rsidRDefault="00014C98">
            <w:pPr>
              <w:jc w:val="right"/>
              <w:rPr>
                <w:rFonts w:ascii="Arial" w:hAnsi="Arial"/>
                <w:snapToGrid w:val="0"/>
                <w:color w:val="000000"/>
              </w:rPr>
            </w:pPr>
          </w:p>
        </w:tc>
        <w:tc>
          <w:tcPr>
            <w:tcW w:w="2222" w:type="dxa"/>
            <w:gridSpan w:val="3"/>
          </w:tcPr>
          <w:p w:rsidR="00014C98" w:rsidRDefault="00014C98">
            <w:pPr>
              <w:rPr>
                <w:rFonts w:ascii="Arial" w:hAnsi="Arial"/>
                <w:snapToGrid w:val="0"/>
                <w:color w:val="000000"/>
              </w:rPr>
            </w:pPr>
            <w:r>
              <w:rPr>
                <w:rFonts w:ascii="Arial" w:hAnsi="Arial"/>
                <w:snapToGrid w:val="0"/>
                <w:color w:val="000000"/>
              </w:rPr>
              <w:t>Long-term debt</w:t>
            </w:r>
          </w:p>
        </w:tc>
        <w:tc>
          <w:tcPr>
            <w:tcW w:w="960" w:type="dxa"/>
          </w:tcPr>
          <w:p w:rsidR="00014C98" w:rsidRDefault="00FD0EE6">
            <w:pPr>
              <w:jc w:val="right"/>
              <w:rPr>
                <w:rFonts w:ascii="Arial" w:hAnsi="Arial"/>
                <w:snapToGrid w:val="0"/>
                <w:color w:val="000000"/>
              </w:rPr>
            </w:pPr>
            <w:r>
              <w:rPr>
                <w:rFonts w:ascii="Arial" w:hAnsi="Arial"/>
                <w:snapToGrid w:val="0"/>
                <w:color w:val="000000"/>
              </w:rPr>
              <w:t xml:space="preserve"> </w:t>
            </w:r>
            <w:r w:rsidR="00014C98">
              <w:rPr>
                <w:rFonts w:ascii="Arial" w:hAnsi="Arial"/>
                <w:snapToGrid w:val="0"/>
                <w:color w:val="000000"/>
              </w:rPr>
              <w:t xml:space="preserve">  1,191 </w:t>
            </w:r>
          </w:p>
        </w:tc>
      </w:tr>
      <w:tr w:rsidR="00014C98">
        <w:trPr>
          <w:trHeight w:val="307"/>
        </w:trPr>
        <w:tc>
          <w:tcPr>
            <w:tcW w:w="1008" w:type="dxa"/>
          </w:tcPr>
          <w:p w:rsidR="00014C98" w:rsidRDefault="00014C98">
            <w:pPr>
              <w:jc w:val="right"/>
              <w:rPr>
                <w:rFonts w:ascii="Arial" w:hAnsi="Arial"/>
                <w:snapToGrid w:val="0"/>
                <w:color w:val="000000"/>
              </w:rPr>
            </w:pPr>
          </w:p>
        </w:tc>
        <w:tc>
          <w:tcPr>
            <w:tcW w:w="1070" w:type="dxa"/>
          </w:tcPr>
          <w:p w:rsidR="00014C98" w:rsidRDefault="00014C98">
            <w:pPr>
              <w:jc w:val="right"/>
              <w:rPr>
                <w:rFonts w:ascii="Arial" w:hAnsi="Arial"/>
                <w:snapToGrid w:val="0"/>
                <w:color w:val="000000"/>
              </w:rPr>
            </w:pPr>
          </w:p>
        </w:tc>
        <w:tc>
          <w:tcPr>
            <w:tcW w:w="960" w:type="dxa"/>
          </w:tcPr>
          <w:p w:rsidR="00014C98" w:rsidRDefault="00014C98">
            <w:pPr>
              <w:jc w:val="right"/>
              <w:rPr>
                <w:rFonts w:ascii="Arial" w:hAnsi="Arial"/>
                <w:snapToGrid w:val="0"/>
                <w:color w:val="000000"/>
              </w:rPr>
            </w:pPr>
          </w:p>
        </w:tc>
        <w:tc>
          <w:tcPr>
            <w:tcW w:w="960" w:type="dxa"/>
          </w:tcPr>
          <w:p w:rsidR="00014C98" w:rsidRDefault="00014C98">
            <w:pPr>
              <w:jc w:val="right"/>
              <w:rPr>
                <w:rFonts w:ascii="Arial" w:hAnsi="Arial"/>
                <w:snapToGrid w:val="0"/>
                <w:color w:val="000000"/>
              </w:rPr>
            </w:pPr>
          </w:p>
        </w:tc>
        <w:tc>
          <w:tcPr>
            <w:tcW w:w="1071" w:type="dxa"/>
          </w:tcPr>
          <w:p w:rsidR="00014C98" w:rsidRDefault="00014C98">
            <w:pPr>
              <w:jc w:val="right"/>
              <w:rPr>
                <w:rFonts w:ascii="Arial" w:hAnsi="Arial"/>
                <w:snapToGrid w:val="0"/>
                <w:color w:val="000000"/>
              </w:rPr>
            </w:pPr>
          </w:p>
        </w:tc>
        <w:tc>
          <w:tcPr>
            <w:tcW w:w="1008" w:type="dxa"/>
          </w:tcPr>
          <w:p w:rsidR="00014C98" w:rsidRDefault="00014C98">
            <w:pPr>
              <w:rPr>
                <w:rFonts w:ascii="Arial" w:hAnsi="Arial"/>
                <w:snapToGrid w:val="0"/>
                <w:color w:val="000000"/>
              </w:rPr>
            </w:pPr>
            <w:r>
              <w:rPr>
                <w:rFonts w:ascii="Arial" w:hAnsi="Arial"/>
                <w:snapToGrid w:val="0"/>
                <w:color w:val="000000"/>
              </w:rPr>
              <w:t>Equity</w:t>
            </w:r>
          </w:p>
        </w:tc>
        <w:tc>
          <w:tcPr>
            <w:tcW w:w="254" w:type="dxa"/>
          </w:tcPr>
          <w:p w:rsidR="00014C98" w:rsidRDefault="00014C98">
            <w:pPr>
              <w:jc w:val="right"/>
              <w:rPr>
                <w:rFonts w:ascii="Arial" w:hAnsi="Arial"/>
                <w:snapToGrid w:val="0"/>
                <w:color w:val="000000"/>
              </w:rPr>
            </w:pPr>
          </w:p>
        </w:tc>
        <w:tc>
          <w:tcPr>
            <w:tcW w:w="960" w:type="dxa"/>
          </w:tcPr>
          <w:p w:rsidR="00014C98" w:rsidRDefault="00014C98">
            <w:pPr>
              <w:jc w:val="right"/>
              <w:rPr>
                <w:rFonts w:ascii="Arial" w:hAnsi="Arial"/>
                <w:snapToGrid w:val="0"/>
                <w:color w:val="000000"/>
              </w:rPr>
            </w:pPr>
          </w:p>
        </w:tc>
        <w:tc>
          <w:tcPr>
            <w:tcW w:w="960" w:type="dxa"/>
          </w:tcPr>
          <w:p w:rsidR="00014C98" w:rsidRDefault="00FD0EE6">
            <w:pPr>
              <w:jc w:val="right"/>
              <w:rPr>
                <w:rFonts w:ascii="Arial" w:hAnsi="Arial"/>
                <w:snapToGrid w:val="0"/>
                <w:color w:val="000000"/>
                <w:u w:val="single"/>
              </w:rPr>
            </w:pPr>
            <w:r>
              <w:rPr>
                <w:rFonts w:ascii="Arial" w:hAnsi="Arial"/>
                <w:snapToGrid w:val="0"/>
                <w:color w:val="000000"/>
                <w:u w:val="single"/>
              </w:rPr>
              <w:t xml:space="preserve"> </w:t>
            </w:r>
            <w:r w:rsidR="00014C98">
              <w:rPr>
                <w:rFonts w:ascii="Arial" w:hAnsi="Arial"/>
                <w:snapToGrid w:val="0"/>
                <w:color w:val="000000"/>
                <w:u w:val="single"/>
              </w:rPr>
              <w:t xml:space="preserve">  3,272 </w:t>
            </w:r>
          </w:p>
        </w:tc>
      </w:tr>
      <w:tr w:rsidR="00014C98">
        <w:trPr>
          <w:trHeight w:val="264"/>
        </w:trPr>
        <w:tc>
          <w:tcPr>
            <w:tcW w:w="1008" w:type="dxa"/>
          </w:tcPr>
          <w:p w:rsidR="00014C98" w:rsidRDefault="00014C98">
            <w:pPr>
              <w:jc w:val="right"/>
              <w:rPr>
                <w:rFonts w:ascii="Arial" w:hAnsi="Arial"/>
                <w:snapToGrid w:val="0"/>
                <w:color w:val="000000"/>
              </w:rPr>
            </w:pPr>
          </w:p>
        </w:tc>
        <w:tc>
          <w:tcPr>
            <w:tcW w:w="1070" w:type="dxa"/>
          </w:tcPr>
          <w:p w:rsidR="00014C98" w:rsidRDefault="00014C98">
            <w:pPr>
              <w:jc w:val="right"/>
              <w:rPr>
                <w:rFonts w:ascii="Arial" w:hAnsi="Arial"/>
                <w:snapToGrid w:val="0"/>
                <w:color w:val="000000"/>
              </w:rPr>
            </w:pPr>
          </w:p>
        </w:tc>
        <w:tc>
          <w:tcPr>
            <w:tcW w:w="960" w:type="dxa"/>
          </w:tcPr>
          <w:p w:rsidR="00014C98" w:rsidRDefault="00014C98">
            <w:pPr>
              <w:jc w:val="right"/>
              <w:rPr>
                <w:rFonts w:ascii="Arial" w:hAnsi="Arial"/>
                <w:snapToGrid w:val="0"/>
                <w:color w:val="000000"/>
              </w:rPr>
            </w:pPr>
          </w:p>
        </w:tc>
        <w:tc>
          <w:tcPr>
            <w:tcW w:w="960" w:type="dxa"/>
          </w:tcPr>
          <w:p w:rsidR="00014C98" w:rsidRDefault="00014C98">
            <w:pPr>
              <w:jc w:val="right"/>
              <w:rPr>
                <w:rFonts w:ascii="Arial" w:hAnsi="Arial"/>
                <w:snapToGrid w:val="0"/>
                <w:color w:val="000000"/>
              </w:rPr>
            </w:pPr>
          </w:p>
        </w:tc>
        <w:tc>
          <w:tcPr>
            <w:tcW w:w="1071" w:type="dxa"/>
          </w:tcPr>
          <w:p w:rsidR="00014C98" w:rsidRDefault="00014C98">
            <w:pPr>
              <w:jc w:val="right"/>
              <w:rPr>
                <w:rFonts w:ascii="Arial" w:hAnsi="Arial"/>
                <w:snapToGrid w:val="0"/>
                <w:color w:val="000000"/>
              </w:rPr>
            </w:pPr>
          </w:p>
        </w:tc>
        <w:tc>
          <w:tcPr>
            <w:tcW w:w="2222" w:type="dxa"/>
            <w:gridSpan w:val="3"/>
          </w:tcPr>
          <w:p w:rsidR="00014C98" w:rsidRDefault="00014C98">
            <w:pPr>
              <w:rPr>
                <w:rFonts w:ascii="Arial" w:hAnsi="Arial"/>
                <w:snapToGrid w:val="0"/>
                <w:color w:val="000000"/>
              </w:rPr>
            </w:pPr>
            <w:r>
              <w:rPr>
                <w:rFonts w:ascii="Arial" w:hAnsi="Arial"/>
                <w:snapToGrid w:val="0"/>
                <w:color w:val="000000"/>
              </w:rPr>
              <w:t xml:space="preserve">Total </w:t>
            </w:r>
            <w:proofErr w:type="spellStart"/>
            <w:r>
              <w:rPr>
                <w:rFonts w:ascii="Arial" w:hAnsi="Arial"/>
                <w:snapToGrid w:val="0"/>
                <w:color w:val="000000"/>
              </w:rPr>
              <w:t>liab</w:t>
            </w:r>
            <w:proofErr w:type="spellEnd"/>
            <w:r>
              <w:rPr>
                <w:rFonts w:ascii="Arial" w:hAnsi="Arial"/>
                <w:snapToGrid w:val="0"/>
                <w:color w:val="000000"/>
              </w:rPr>
              <w:t>. and equity</w:t>
            </w:r>
          </w:p>
        </w:tc>
        <w:tc>
          <w:tcPr>
            <w:tcW w:w="960" w:type="dxa"/>
          </w:tcPr>
          <w:p w:rsidR="00014C98" w:rsidRDefault="00014C98">
            <w:pPr>
              <w:jc w:val="right"/>
              <w:rPr>
                <w:rFonts w:ascii="Arial" w:hAnsi="Arial"/>
                <w:snapToGrid w:val="0"/>
                <w:color w:val="000000"/>
              </w:rPr>
            </w:pPr>
            <w:r>
              <w:rPr>
                <w:rFonts w:ascii="Arial" w:hAnsi="Arial"/>
                <w:snapToGrid w:val="0"/>
                <w:color w:val="000000"/>
              </w:rPr>
              <w:t xml:space="preserve"> $41,554 </w:t>
            </w:r>
          </w:p>
        </w:tc>
      </w:tr>
      <w:tr w:rsidR="00014C98">
        <w:trPr>
          <w:trHeight w:val="264"/>
        </w:trPr>
        <w:tc>
          <w:tcPr>
            <w:tcW w:w="1008" w:type="dxa"/>
          </w:tcPr>
          <w:p w:rsidR="00014C98" w:rsidRDefault="00014C98">
            <w:pPr>
              <w:jc w:val="right"/>
              <w:rPr>
                <w:rFonts w:ascii="Arial" w:hAnsi="Arial"/>
                <w:snapToGrid w:val="0"/>
                <w:color w:val="000000"/>
              </w:rPr>
            </w:pPr>
          </w:p>
        </w:tc>
        <w:tc>
          <w:tcPr>
            <w:tcW w:w="1070" w:type="dxa"/>
          </w:tcPr>
          <w:p w:rsidR="00014C98" w:rsidRDefault="00014C98">
            <w:pPr>
              <w:jc w:val="right"/>
              <w:rPr>
                <w:rFonts w:ascii="Arial" w:hAnsi="Arial"/>
                <w:snapToGrid w:val="0"/>
                <w:color w:val="000000"/>
              </w:rPr>
            </w:pPr>
          </w:p>
        </w:tc>
        <w:tc>
          <w:tcPr>
            <w:tcW w:w="960" w:type="dxa"/>
          </w:tcPr>
          <w:p w:rsidR="00014C98" w:rsidRDefault="00014C98">
            <w:pPr>
              <w:jc w:val="right"/>
              <w:rPr>
                <w:rFonts w:ascii="Arial" w:hAnsi="Arial"/>
                <w:snapToGrid w:val="0"/>
                <w:color w:val="000000"/>
              </w:rPr>
            </w:pPr>
          </w:p>
        </w:tc>
        <w:tc>
          <w:tcPr>
            <w:tcW w:w="960" w:type="dxa"/>
          </w:tcPr>
          <w:p w:rsidR="00014C98" w:rsidRDefault="00014C98">
            <w:pPr>
              <w:jc w:val="right"/>
              <w:rPr>
                <w:rFonts w:ascii="Arial" w:hAnsi="Arial"/>
                <w:snapToGrid w:val="0"/>
                <w:color w:val="000000"/>
              </w:rPr>
            </w:pPr>
          </w:p>
        </w:tc>
        <w:tc>
          <w:tcPr>
            <w:tcW w:w="1071" w:type="dxa"/>
          </w:tcPr>
          <w:p w:rsidR="00014C98" w:rsidRDefault="00014C98">
            <w:pPr>
              <w:jc w:val="right"/>
              <w:rPr>
                <w:rFonts w:ascii="Arial" w:hAnsi="Arial"/>
                <w:snapToGrid w:val="0"/>
                <w:color w:val="000000"/>
              </w:rPr>
            </w:pPr>
          </w:p>
        </w:tc>
        <w:tc>
          <w:tcPr>
            <w:tcW w:w="1008" w:type="dxa"/>
          </w:tcPr>
          <w:p w:rsidR="00014C98" w:rsidRDefault="00014C98">
            <w:pPr>
              <w:jc w:val="right"/>
              <w:rPr>
                <w:rFonts w:ascii="Arial" w:hAnsi="Arial"/>
                <w:snapToGrid w:val="0"/>
                <w:color w:val="000000"/>
              </w:rPr>
            </w:pPr>
          </w:p>
        </w:tc>
        <w:tc>
          <w:tcPr>
            <w:tcW w:w="254" w:type="dxa"/>
          </w:tcPr>
          <w:p w:rsidR="00014C98" w:rsidRDefault="00014C98">
            <w:pPr>
              <w:jc w:val="right"/>
              <w:rPr>
                <w:rFonts w:ascii="Arial" w:hAnsi="Arial"/>
                <w:snapToGrid w:val="0"/>
                <w:color w:val="000000"/>
              </w:rPr>
            </w:pPr>
          </w:p>
        </w:tc>
        <w:tc>
          <w:tcPr>
            <w:tcW w:w="960" w:type="dxa"/>
          </w:tcPr>
          <w:p w:rsidR="00014C98" w:rsidRDefault="00014C98">
            <w:pPr>
              <w:jc w:val="right"/>
              <w:rPr>
                <w:rFonts w:ascii="Arial" w:hAnsi="Arial"/>
                <w:snapToGrid w:val="0"/>
                <w:color w:val="000000"/>
              </w:rPr>
            </w:pPr>
          </w:p>
        </w:tc>
        <w:tc>
          <w:tcPr>
            <w:tcW w:w="960" w:type="dxa"/>
          </w:tcPr>
          <w:p w:rsidR="00014C98" w:rsidRDefault="00014C98">
            <w:pPr>
              <w:jc w:val="right"/>
              <w:rPr>
                <w:rFonts w:ascii="Arial" w:hAnsi="Arial"/>
                <w:snapToGrid w:val="0"/>
                <w:color w:val="000000"/>
              </w:rPr>
            </w:pPr>
          </w:p>
        </w:tc>
      </w:tr>
    </w:tbl>
    <w:p w:rsidR="00014C98" w:rsidRDefault="00014C98">
      <w:pPr>
        <w:tabs>
          <w:tab w:val="left" w:pos="1080"/>
          <w:tab w:val="left" w:pos="1620"/>
        </w:tabs>
        <w:rPr>
          <w:sz w:val="24"/>
        </w:rPr>
      </w:pPr>
      <w:r>
        <w:rPr>
          <w:sz w:val="24"/>
        </w:rPr>
        <w:t>This bank has funded the assets primarily with transaction and sa</w:t>
      </w:r>
      <w:r w:rsidR="00514F6B">
        <w:rPr>
          <w:sz w:val="24"/>
        </w:rPr>
        <w:t xml:space="preserve">vings deposits. </w:t>
      </w:r>
      <w:r>
        <w:rPr>
          <w:sz w:val="24"/>
        </w:rPr>
        <w:t>The certificates of deposit could be either reta</w:t>
      </w:r>
      <w:r w:rsidR="00514F6B">
        <w:rPr>
          <w:sz w:val="24"/>
        </w:rPr>
        <w:t xml:space="preserve">il or corporate (negotiable). </w:t>
      </w:r>
      <w:r>
        <w:rPr>
          <w:sz w:val="24"/>
        </w:rPr>
        <w:t>The bank has very little (</w:t>
      </w:r>
      <w:r>
        <w:rPr>
          <w:sz w:val="24"/>
        </w:rPr>
        <w:sym w:font="Symbol" w:char="F07E"/>
      </w:r>
      <w:r w:rsidR="00514F6B">
        <w:rPr>
          <w:sz w:val="24"/>
        </w:rPr>
        <w:t>5 percent) borrowed funds.</w:t>
      </w:r>
      <w:r>
        <w:rPr>
          <w:sz w:val="24"/>
        </w:rPr>
        <w:t xml:space="preserve"> On the asset side, about 72 percent of total assets </w:t>
      </w:r>
      <w:proofErr w:type="gramStart"/>
      <w:r>
        <w:rPr>
          <w:sz w:val="24"/>
        </w:rPr>
        <w:t>is</w:t>
      </w:r>
      <w:proofErr w:type="gramEnd"/>
      <w:r>
        <w:rPr>
          <w:sz w:val="24"/>
        </w:rPr>
        <w:t xml:space="preserve"> in the loan portfolio, but there is no informati</w:t>
      </w:r>
      <w:r w:rsidR="00514F6B">
        <w:rPr>
          <w:sz w:val="24"/>
        </w:rPr>
        <w:t xml:space="preserve">on about the type of loans. </w:t>
      </w:r>
      <w:r>
        <w:rPr>
          <w:sz w:val="24"/>
        </w:rPr>
        <w:t xml:space="preserve">The bank actually is a small regional bank with $41.5 billion in assets, but the asset structure could easily be a community bank </w:t>
      </w:r>
      <w:r w:rsidR="00FD0EE6">
        <w:rPr>
          <w:sz w:val="24"/>
        </w:rPr>
        <w:t xml:space="preserve">if the numbers were denominated in millions, e.g., </w:t>
      </w:r>
      <w:r>
        <w:rPr>
          <w:sz w:val="24"/>
        </w:rPr>
        <w:t>$41.5 million in assets.</w:t>
      </w:r>
    </w:p>
    <w:p w:rsidR="00014C98" w:rsidRDefault="00014C98">
      <w:pPr>
        <w:tabs>
          <w:tab w:val="left" w:pos="1080"/>
          <w:tab w:val="left" w:pos="1620"/>
        </w:tabs>
        <w:rPr>
          <w:sz w:val="24"/>
        </w:rPr>
      </w:pPr>
    </w:p>
    <w:p w:rsidR="00014C98" w:rsidRDefault="00014C98">
      <w:pPr>
        <w:pStyle w:val="BodyTextIndent"/>
        <w:numPr>
          <w:ilvl w:val="0"/>
          <w:numId w:val="27"/>
        </w:numPr>
        <w:tabs>
          <w:tab w:val="clear" w:pos="720"/>
          <w:tab w:val="num" w:pos="540"/>
          <w:tab w:val="left" w:pos="1080"/>
        </w:tabs>
        <w:ind w:left="540" w:hanging="540"/>
      </w:pPr>
      <w:r>
        <w:t xml:space="preserve">What types of activities </w:t>
      </w:r>
      <w:r w:rsidR="003824B5">
        <w:t xml:space="preserve">are </w:t>
      </w:r>
      <w:r>
        <w:t>normally classified as off-balance-sheet (OBS) activities?</w:t>
      </w:r>
    </w:p>
    <w:p w:rsidR="00014C98" w:rsidRDefault="00014C98">
      <w:pPr>
        <w:tabs>
          <w:tab w:val="left" w:pos="1080"/>
          <w:tab w:val="left" w:pos="1620"/>
        </w:tabs>
        <w:ind w:left="540" w:hanging="540"/>
        <w:rPr>
          <w:sz w:val="24"/>
        </w:rPr>
      </w:pPr>
    </w:p>
    <w:p w:rsidR="00014C98" w:rsidRDefault="00014C98">
      <w:pPr>
        <w:pStyle w:val="BodyText"/>
        <w:tabs>
          <w:tab w:val="left" w:pos="1080"/>
          <w:tab w:val="left" w:pos="1620"/>
        </w:tabs>
      </w:pPr>
      <w:r>
        <w:t>Off-balance-sheet activities include the issuance of guarantees that may be called into play at a future time, and the commitment to lend at a future time if the borrower desires.</w:t>
      </w:r>
    </w:p>
    <w:p w:rsidR="00014C98" w:rsidRDefault="00014C98">
      <w:pPr>
        <w:tabs>
          <w:tab w:val="left" w:pos="1080"/>
          <w:tab w:val="left" w:pos="1620"/>
        </w:tabs>
        <w:rPr>
          <w:sz w:val="24"/>
        </w:rPr>
      </w:pPr>
    </w:p>
    <w:p w:rsidR="00014C98" w:rsidRDefault="00014C98">
      <w:pPr>
        <w:pStyle w:val="BodyTextIndent3"/>
        <w:tabs>
          <w:tab w:val="left" w:pos="900"/>
        </w:tabs>
      </w:pPr>
      <w:r>
        <w:tab/>
        <w:t>a.</w:t>
      </w:r>
      <w:r>
        <w:tab/>
        <w:t>How does an OBS activity move onto the balance sheet as an asset or liability?</w:t>
      </w:r>
    </w:p>
    <w:p w:rsidR="00014C98" w:rsidRDefault="00014C98">
      <w:pPr>
        <w:tabs>
          <w:tab w:val="left" w:pos="1080"/>
          <w:tab w:val="left" w:pos="1620"/>
        </w:tabs>
        <w:ind w:left="540" w:hanging="540"/>
        <w:rPr>
          <w:sz w:val="24"/>
        </w:rPr>
      </w:pPr>
    </w:p>
    <w:p w:rsidR="00014C98" w:rsidRDefault="00014C98" w:rsidP="0015236A">
      <w:pPr>
        <w:pStyle w:val="BodyTextIndent"/>
        <w:tabs>
          <w:tab w:val="clear" w:pos="540"/>
          <w:tab w:val="left" w:pos="1080"/>
        </w:tabs>
        <w:ind w:left="0" w:firstLine="0"/>
      </w:pPr>
      <w:r>
        <w:t>The activity becomes an asset or a liability upon the occurrence of a contingent event, which may not</w:t>
      </w:r>
      <w:r w:rsidR="00514F6B">
        <w:t xml:space="preserve"> be in the control of the bank.</w:t>
      </w:r>
      <w:r>
        <w:t xml:space="preserve"> In most cases</w:t>
      </w:r>
      <w:r w:rsidR="003824B5">
        <w:t>,</w:t>
      </w:r>
      <w:r>
        <w:t xml:space="preserve"> the other party involved with the original agreement will call upon the bank to honor its original commitment.</w:t>
      </w:r>
    </w:p>
    <w:p w:rsidR="00014C98" w:rsidRDefault="00014C98">
      <w:pPr>
        <w:tabs>
          <w:tab w:val="left" w:pos="1080"/>
          <w:tab w:val="left" w:pos="1620"/>
        </w:tabs>
        <w:ind w:left="540" w:hanging="540"/>
        <w:rPr>
          <w:sz w:val="24"/>
        </w:rPr>
      </w:pPr>
    </w:p>
    <w:p w:rsidR="00014C98" w:rsidRDefault="00014C98">
      <w:pPr>
        <w:numPr>
          <w:ilvl w:val="0"/>
          <w:numId w:val="28"/>
        </w:numPr>
        <w:tabs>
          <w:tab w:val="left" w:pos="900"/>
          <w:tab w:val="left" w:pos="1620"/>
        </w:tabs>
        <w:rPr>
          <w:sz w:val="24"/>
        </w:rPr>
      </w:pPr>
      <w:r>
        <w:rPr>
          <w:sz w:val="24"/>
        </w:rPr>
        <w:t>What are the benefits of OBS activities to a bank?</w:t>
      </w:r>
    </w:p>
    <w:p w:rsidR="00014C98" w:rsidRDefault="00014C98">
      <w:pPr>
        <w:tabs>
          <w:tab w:val="left" w:pos="1080"/>
          <w:tab w:val="left" w:pos="1620"/>
        </w:tabs>
        <w:ind w:left="540"/>
        <w:rPr>
          <w:sz w:val="24"/>
        </w:rPr>
      </w:pPr>
    </w:p>
    <w:p w:rsidR="00014C98" w:rsidRDefault="00014C98" w:rsidP="0015236A">
      <w:pPr>
        <w:tabs>
          <w:tab w:val="left" w:pos="1080"/>
          <w:tab w:val="left" w:pos="1620"/>
        </w:tabs>
        <w:rPr>
          <w:sz w:val="24"/>
        </w:rPr>
      </w:pPr>
      <w:r>
        <w:rPr>
          <w:sz w:val="24"/>
        </w:rPr>
        <w:t>The initial benefit is the fee that the bank charg</w:t>
      </w:r>
      <w:r w:rsidR="00514F6B">
        <w:rPr>
          <w:sz w:val="24"/>
        </w:rPr>
        <w:t xml:space="preserve">es when making the commitment. </w:t>
      </w:r>
      <w:r>
        <w:rPr>
          <w:sz w:val="24"/>
        </w:rPr>
        <w:t>If the bank is required to honor the commitment, the normal interest rate structure will apply to the commitment as it</w:t>
      </w:r>
      <w:r w:rsidR="00514F6B">
        <w:rPr>
          <w:sz w:val="24"/>
        </w:rPr>
        <w:t xml:space="preserve"> moves onto the balance sheet. </w:t>
      </w:r>
      <w:r>
        <w:rPr>
          <w:sz w:val="24"/>
        </w:rPr>
        <w:t>Since the initial commitment does not appear on the balance sheet, the bank avoids the need to fund the asset w</w:t>
      </w:r>
      <w:r w:rsidR="00514F6B">
        <w:rPr>
          <w:sz w:val="24"/>
        </w:rPr>
        <w:t xml:space="preserve">ith either deposits or equity. </w:t>
      </w:r>
      <w:r>
        <w:rPr>
          <w:sz w:val="24"/>
        </w:rPr>
        <w:t>Thus</w:t>
      </w:r>
      <w:r w:rsidR="00514F6B">
        <w:rPr>
          <w:sz w:val="24"/>
        </w:rPr>
        <w:t>,</w:t>
      </w:r>
      <w:r>
        <w:rPr>
          <w:sz w:val="24"/>
        </w:rPr>
        <w:t xml:space="preserve"> the bank avoids possible additional reserve requirement balances and deposit insurance premiums</w:t>
      </w:r>
      <w:r w:rsidR="003824B5">
        <w:rPr>
          <w:sz w:val="24"/>
        </w:rPr>
        <w:t>,</w:t>
      </w:r>
      <w:r>
        <w:rPr>
          <w:sz w:val="24"/>
        </w:rPr>
        <w:t xml:space="preserve"> while improving the earnings stream of the bank.</w:t>
      </w:r>
    </w:p>
    <w:p w:rsidR="00014C98" w:rsidRDefault="00014C98">
      <w:pPr>
        <w:tabs>
          <w:tab w:val="left" w:pos="1080"/>
          <w:tab w:val="left" w:pos="1620"/>
        </w:tabs>
        <w:ind w:left="540"/>
        <w:rPr>
          <w:sz w:val="24"/>
        </w:rPr>
      </w:pPr>
    </w:p>
    <w:p w:rsidR="00014C98" w:rsidRDefault="00014C98">
      <w:pPr>
        <w:numPr>
          <w:ilvl w:val="0"/>
          <w:numId w:val="28"/>
        </w:numPr>
        <w:tabs>
          <w:tab w:val="left" w:pos="900"/>
          <w:tab w:val="left" w:pos="1620"/>
        </w:tabs>
        <w:rPr>
          <w:sz w:val="24"/>
        </w:rPr>
      </w:pPr>
      <w:r>
        <w:rPr>
          <w:sz w:val="24"/>
        </w:rPr>
        <w:t>What are the risks of OBS activities to a bank?</w:t>
      </w:r>
    </w:p>
    <w:p w:rsidR="008A1F5A" w:rsidRDefault="008A1F5A">
      <w:pPr>
        <w:rPr>
          <w:sz w:val="24"/>
        </w:rPr>
      </w:pPr>
      <w:r>
        <w:rPr>
          <w:sz w:val="24"/>
        </w:rPr>
        <w:br w:type="page"/>
      </w:r>
    </w:p>
    <w:p w:rsidR="00014C98" w:rsidRDefault="00014C98">
      <w:pPr>
        <w:tabs>
          <w:tab w:val="left" w:pos="1080"/>
          <w:tab w:val="left" w:pos="1620"/>
        </w:tabs>
        <w:rPr>
          <w:sz w:val="24"/>
        </w:rPr>
      </w:pPr>
    </w:p>
    <w:p w:rsidR="00014C98" w:rsidRPr="00A3338F" w:rsidRDefault="00014C98" w:rsidP="0015236A">
      <w:pPr>
        <w:pStyle w:val="BodyTextIndent"/>
        <w:tabs>
          <w:tab w:val="clear" w:pos="540"/>
          <w:tab w:val="left" w:pos="1080"/>
        </w:tabs>
        <w:ind w:left="0" w:firstLine="0"/>
        <w:rPr>
          <w:szCs w:val="24"/>
        </w:rPr>
      </w:pPr>
      <w:r>
        <w:t>The primary risk to OBS activities on the asset side of the bank involves the credit risk of the borrow</w:t>
      </w:r>
      <w:r w:rsidR="00514F6B">
        <w:t xml:space="preserve">er. </w:t>
      </w:r>
      <w:r>
        <w:t>In many cases the borrower will not utilize the commitment of the bank until the borrower faces a financial problem that may alter the cred</w:t>
      </w:r>
      <w:r w:rsidR="00514F6B">
        <w:t xml:space="preserve">it worthiness of the borrower. </w:t>
      </w:r>
      <w:r>
        <w:t xml:space="preserve">Moving the OBS activity to the balance sheet </w:t>
      </w:r>
      <w:r w:rsidRPr="00A3338F">
        <w:rPr>
          <w:szCs w:val="24"/>
        </w:rPr>
        <w:t>may have an additional impact on the interest rate and foreign exchange risk of the bank.</w:t>
      </w:r>
      <w:r w:rsidR="00A3338F" w:rsidRPr="00A3338F">
        <w:rPr>
          <w:szCs w:val="24"/>
        </w:rPr>
        <w:t xml:space="preserve"> Further, </w:t>
      </w:r>
      <w:r w:rsidR="00A3338F" w:rsidRPr="00A3338F">
        <w:rPr>
          <w:color w:val="000000"/>
          <w:szCs w:val="24"/>
        </w:rPr>
        <w:t>at the very heart of the financial crisis were losses associated with off-balance-sheet mortgage-backed securities created and held by FIs. Losses resulted in the failure, acquisition, or bailout of some of the largest FIs and a near meltdown of the world’s financial and economic systems.</w:t>
      </w:r>
    </w:p>
    <w:p w:rsidR="00014C98" w:rsidRPr="00A3338F" w:rsidRDefault="00014C98">
      <w:pPr>
        <w:tabs>
          <w:tab w:val="left" w:pos="1080"/>
          <w:tab w:val="left" w:pos="1620"/>
        </w:tabs>
        <w:ind w:left="540" w:hanging="540"/>
        <w:rPr>
          <w:sz w:val="24"/>
          <w:szCs w:val="24"/>
        </w:rPr>
      </w:pPr>
    </w:p>
    <w:p w:rsidR="00014C98" w:rsidRDefault="00014C98">
      <w:pPr>
        <w:numPr>
          <w:ilvl w:val="0"/>
          <w:numId w:val="27"/>
        </w:numPr>
        <w:tabs>
          <w:tab w:val="clear" w:pos="720"/>
          <w:tab w:val="num" w:pos="540"/>
          <w:tab w:val="left" w:pos="1080"/>
          <w:tab w:val="left" w:pos="1620"/>
        </w:tabs>
        <w:ind w:left="540" w:hanging="630"/>
        <w:rPr>
          <w:sz w:val="24"/>
        </w:rPr>
      </w:pPr>
      <w:r>
        <w:rPr>
          <w:sz w:val="24"/>
        </w:rPr>
        <w:t>Use the data in Table 2-</w:t>
      </w:r>
      <w:r w:rsidR="009D28BF">
        <w:rPr>
          <w:sz w:val="24"/>
        </w:rPr>
        <w:t>7</w:t>
      </w:r>
      <w:r>
        <w:rPr>
          <w:sz w:val="24"/>
        </w:rPr>
        <w:t xml:space="preserve"> to answer the following questions.</w:t>
      </w:r>
    </w:p>
    <w:p w:rsidR="00014C98" w:rsidRDefault="00014C98">
      <w:pPr>
        <w:tabs>
          <w:tab w:val="left" w:pos="1080"/>
          <w:tab w:val="left" w:pos="1620"/>
        </w:tabs>
        <w:rPr>
          <w:sz w:val="24"/>
        </w:rPr>
      </w:pPr>
    </w:p>
    <w:p w:rsidR="00014C98" w:rsidRDefault="00014C98">
      <w:pPr>
        <w:numPr>
          <w:ilvl w:val="1"/>
          <w:numId w:val="27"/>
        </w:numPr>
        <w:tabs>
          <w:tab w:val="left" w:pos="540"/>
          <w:tab w:val="left" w:pos="900"/>
          <w:tab w:val="left" w:pos="1080"/>
          <w:tab w:val="left" w:pos="1620"/>
        </w:tabs>
        <w:ind w:left="900"/>
        <w:rPr>
          <w:sz w:val="24"/>
        </w:rPr>
      </w:pPr>
      <w:r>
        <w:rPr>
          <w:sz w:val="24"/>
        </w:rPr>
        <w:t>What was the average annual growth rate in OBS total commitments over the period from 1992-20</w:t>
      </w:r>
      <w:r w:rsidR="00BA7040">
        <w:rPr>
          <w:sz w:val="24"/>
        </w:rPr>
        <w:t>12</w:t>
      </w:r>
      <w:r>
        <w:rPr>
          <w:sz w:val="24"/>
        </w:rPr>
        <w:t>?</w:t>
      </w:r>
    </w:p>
    <w:p w:rsidR="00014C98" w:rsidRDefault="00014C98">
      <w:pPr>
        <w:tabs>
          <w:tab w:val="left" w:pos="540"/>
          <w:tab w:val="left" w:pos="1080"/>
          <w:tab w:val="left" w:pos="1620"/>
        </w:tabs>
        <w:rPr>
          <w:sz w:val="24"/>
        </w:rPr>
      </w:pPr>
    </w:p>
    <w:p w:rsidR="00014C98" w:rsidRDefault="00014C98">
      <w:pPr>
        <w:tabs>
          <w:tab w:val="left" w:pos="540"/>
          <w:tab w:val="left" w:pos="1080"/>
          <w:tab w:val="left" w:pos="1620"/>
        </w:tabs>
        <w:rPr>
          <w:sz w:val="24"/>
        </w:rPr>
      </w:pPr>
      <w:r>
        <w:rPr>
          <w:sz w:val="24"/>
        </w:rPr>
        <w:t>$</w:t>
      </w:r>
      <w:r w:rsidR="00A3338F">
        <w:rPr>
          <w:sz w:val="24"/>
        </w:rPr>
        <w:t>2</w:t>
      </w:r>
      <w:r w:rsidR="00BA7040">
        <w:rPr>
          <w:sz w:val="24"/>
        </w:rPr>
        <w:t>3</w:t>
      </w:r>
      <w:r w:rsidR="00A3338F">
        <w:rPr>
          <w:sz w:val="24"/>
        </w:rPr>
        <w:t>6,9</w:t>
      </w:r>
      <w:r w:rsidR="00BA7040">
        <w:rPr>
          <w:sz w:val="24"/>
        </w:rPr>
        <w:t>45</w:t>
      </w:r>
      <w:r w:rsidR="00A3338F">
        <w:rPr>
          <w:sz w:val="24"/>
        </w:rPr>
        <w:t>.</w:t>
      </w:r>
      <w:r w:rsidR="00BA7040">
        <w:rPr>
          <w:sz w:val="24"/>
        </w:rPr>
        <w:t>3</w:t>
      </w:r>
      <w:r>
        <w:rPr>
          <w:sz w:val="24"/>
        </w:rPr>
        <w:t xml:space="preserve"> = $10,0</w:t>
      </w:r>
      <w:r w:rsidR="003824B5">
        <w:rPr>
          <w:sz w:val="24"/>
        </w:rPr>
        <w:t>75</w:t>
      </w:r>
      <w:r>
        <w:rPr>
          <w:sz w:val="24"/>
        </w:rPr>
        <w:t>.</w:t>
      </w:r>
      <w:r w:rsidR="003824B5">
        <w:rPr>
          <w:sz w:val="24"/>
        </w:rPr>
        <w:t>8</w:t>
      </w:r>
      <w:r>
        <w:rPr>
          <w:sz w:val="24"/>
        </w:rPr>
        <w:t>(1+g</w:t>
      </w:r>
      <w:proofErr w:type="gramStart"/>
      <w:r>
        <w:rPr>
          <w:sz w:val="24"/>
        </w:rPr>
        <w:t>)</w:t>
      </w:r>
      <w:r w:rsidR="00BA7040">
        <w:rPr>
          <w:sz w:val="24"/>
          <w:vertAlign w:val="superscript"/>
        </w:rPr>
        <w:t>20</w:t>
      </w:r>
      <w:proofErr w:type="gramEnd"/>
      <w:r>
        <w:t xml:space="preserve"> </w:t>
      </w:r>
      <w:r>
        <w:sym w:font="Symbol" w:char="F0DE"/>
      </w:r>
      <w:r>
        <w:t xml:space="preserve"> g </w:t>
      </w:r>
      <w:r>
        <w:rPr>
          <w:sz w:val="24"/>
        </w:rPr>
        <w:t xml:space="preserve">= </w:t>
      </w:r>
      <w:r w:rsidR="00BA7040">
        <w:rPr>
          <w:sz w:val="24"/>
        </w:rPr>
        <w:t>17</w:t>
      </w:r>
      <w:r>
        <w:rPr>
          <w:sz w:val="24"/>
        </w:rPr>
        <w:t>.</w:t>
      </w:r>
      <w:r w:rsidR="00A3338F">
        <w:rPr>
          <w:sz w:val="24"/>
        </w:rPr>
        <w:t>1</w:t>
      </w:r>
      <w:r w:rsidR="00BA7040">
        <w:rPr>
          <w:sz w:val="24"/>
        </w:rPr>
        <w:t>0</w:t>
      </w:r>
      <w:r>
        <w:rPr>
          <w:sz w:val="24"/>
        </w:rPr>
        <w:t xml:space="preserve"> percent</w:t>
      </w:r>
    </w:p>
    <w:p w:rsidR="00014C98" w:rsidRDefault="00014C98">
      <w:pPr>
        <w:tabs>
          <w:tab w:val="left" w:pos="540"/>
          <w:tab w:val="left" w:pos="1080"/>
          <w:tab w:val="left" w:pos="1620"/>
        </w:tabs>
        <w:ind w:left="1080" w:hanging="540"/>
        <w:rPr>
          <w:sz w:val="24"/>
        </w:rPr>
      </w:pPr>
    </w:p>
    <w:p w:rsidR="00014C98" w:rsidRDefault="00014C98">
      <w:pPr>
        <w:numPr>
          <w:ilvl w:val="1"/>
          <w:numId w:val="27"/>
        </w:numPr>
        <w:tabs>
          <w:tab w:val="left" w:pos="540"/>
          <w:tab w:val="left" w:pos="900"/>
          <w:tab w:val="left" w:pos="1080"/>
          <w:tab w:val="left" w:pos="1620"/>
        </w:tabs>
        <w:ind w:hanging="900"/>
        <w:rPr>
          <w:sz w:val="24"/>
        </w:rPr>
      </w:pPr>
      <w:r>
        <w:rPr>
          <w:sz w:val="24"/>
        </w:rPr>
        <w:t>Which categories of contingencies have had the highest annual growth rates?</w:t>
      </w:r>
    </w:p>
    <w:p w:rsidR="00014C98" w:rsidRDefault="00014C98">
      <w:pPr>
        <w:tabs>
          <w:tab w:val="left" w:pos="540"/>
          <w:tab w:val="left" w:pos="1080"/>
          <w:tab w:val="left" w:pos="1620"/>
        </w:tabs>
        <w:rPr>
          <w:sz w:val="24"/>
        </w:rPr>
      </w:pPr>
    </w:p>
    <w:p w:rsidR="00014C98" w:rsidRDefault="00014C98">
      <w:pPr>
        <w:tabs>
          <w:tab w:val="left" w:pos="540"/>
          <w:tab w:val="left" w:pos="1080"/>
          <w:tab w:val="left" w:pos="1620"/>
          <w:tab w:val="left" w:pos="6480"/>
        </w:tabs>
        <w:ind w:left="540" w:hanging="540"/>
        <w:rPr>
          <w:sz w:val="24"/>
        </w:rPr>
      </w:pPr>
      <w:r>
        <w:rPr>
          <w:sz w:val="24"/>
        </w:rPr>
        <w:tab/>
      </w:r>
      <w:r>
        <w:rPr>
          <w:sz w:val="24"/>
          <w:u w:val="single"/>
        </w:rPr>
        <w:t>Category of Contingency or Commitment</w:t>
      </w:r>
      <w:r>
        <w:rPr>
          <w:sz w:val="24"/>
        </w:rPr>
        <w:tab/>
      </w:r>
      <w:r>
        <w:rPr>
          <w:sz w:val="24"/>
          <w:u w:val="single"/>
        </w:rPr>
        <w:t>Growth Rate</w:t>
      </w:r>
    </w:p>
    <w:p w:rsidR="00014C98" w:rsidRDefault="00014C98">
      <w:pPr>
        <w:pStyle w:val="Heading7"/>
      </w:pPr>
      <w:r>
        <w:tab/>
        <w:t>Commitments to lend</w:t>
      </w:r>
      <w:r>
        <w:tab/>
      </w:r>
      <w:r w:rsidR="00BA7040">
        <w:t>7.33</w:t>
      </w:r>
      <w:r>
        <w:t>%</w:t>
      </w:r>
    </w:p>
    <w:p w:rsidR="00014C98" w:rsidRDefault="00014C98">
      <w:pPr>
        <w:tabs>
          <w:tab w:val="left" w:pos="540"/>
          <w:tab w:val="left" w:pos="1080"/>
          <w:tab w:val="left" w:pos="1620"/>
          <w:tab w:val="right" w:pos="7560"/>
        </w:tabs>
        <w:ind w:left="540" w:hanging="540"/>
        <w:rPr>
          <w:sz w:val="24"/>
        </w:rPr>
      </w:pPr>
      <w:r>
        <w:rPr>
          <w:sz w:val="24"/>
        </w:rPr>
        <w:tab/>
        <w:t>Fu</w:t>
      </w:r>
      <w:r w:rsidR="003824B5">
        <w:rPr>
          <w:sz w:val="24"/>
        </w:rPr>
        <w:t xml:space="preserve">ture and </w:t>
      </w:r>
      <w:r w:rsidR="00BA7040">
        <w:rPr>
          <w:sz w:val="24"/>
        </w:rPr>
        <w:t>forward contracts</w:t>
      </w:r>
      <w:r w:rsidR="00BA7040">
        <w:rPr>
          <w:sz w:val="24"/>
        </w:rPr>
        <w:tab/>
        <w:t>15.40</w:t>
      </w:r>
      <w:r>
        <w:rPr>
          <w:sz w:val="24"/>
        </w:rPr>
        <w:t>%</w:t>
      </w:r>
    </w:p>
    <w:p w:rsidR="00014C98" w:rsidRDefault="00014C98">
      <w:pPr>
        <w:pStyle w:val="Heading7"/>
      </w:pPr>
      <w:r>
        <w:tab/>
        <w:t>Notional am</w:t>
      </w:r>
      <w:r w:rsidR="00BB3D8E">
        <w:t>ount of credit derivatives</w:t>
      </w:r>
      <w:r w:rsidR="00BB3D8E">
        <w:tab/>
      </w:r>
      <w:r w:rsidR="00BA7040">
        <w:t>43.94</w:t>
      </w:r>
      <w:r>
        <w:t>%</w:t>
      </w:r>
    </w:p>
    <w:p w:rsidR="00014C98" w:rsidRDefault="00014C98">
      <w:pPr>
        <w:tabs>
          <w:tab w:val="left" w:pos="540"/>
          <w:tab w:val="left" w:pos="1080"/>
          <w:tab w:val="left" w:pos="1620"/>
          <w:tab w:val="right" w:pos="7560"/>
        </w:tabs>
        <w:ind w:left="540" w:hanging="540"/>
        <w:rPr>
          <w:sz w:val="24"/>
        </w:rPr>
      </w:pPr>
      <w:r>
        <w:rPr>
          <w:sz w:val="24"/>
        </w:rPr>
        <w:tab/>
        <w:t>Standby contrac</w:t>
      </w:r>
      <w:r w:rsidR="00BB3D8E">
        <w:rPr>
          <w:sz w:val="24"/>
        </w:rPr>
        <w:t xml:space="preserve">ts </w:t>
      </w:r>
      <w:r w:rsidR="00BA7040">
        <w:rPr>
          <w:sz w:val="24"/>
        </w:rPr>
        <w:t>and other option contracts</w:t>
      </w:r>
      <w:r w:rsidR="00BA7040">
        <w:rPr>
          <w:sz w:val="24"/>
        </w:rPr>
        <w:tab/>
        <w:t>16.52</w:t>
      </w:r>
      <w:r>
        <w:rPr>
          <w:sz w:val="24"/>
        </w:rPr>
        <w:t>%</w:t>
      </w:r>
    </w:p>
    <w:p w:rsidR="00014C98" w:rsidRDefault="00014C98">
      <w:pPr>
        <w:tabs>
          <w:tab w:val="left" w:pos="540"/>
          <w:tab w:val="left" w:pos="1080"/>
          <w:tab w:val="left" w:pos="1620"/>
          <w:tab w:val="right" w:pos="7560"/>
        </w:tabs>
        <w:ind w:left="540" w:hanging="540"/>
        <w:rPr>
          <w:sz w:val="24"/>
        </w:rPr>
      </w:pPr>
      <w:r>
        <w:rPr>
          <w:sz w:val="24"/>
        </w:rPr>
        <w:tab/>
        <w:t>Commitment</w:t>
      </w:r>
      <w:r w:rsidR="00BB3D8E">
        <w:rPr>
          <w:sz w:val="24"/>
        </w:rPr>
        <w:t xml:space="preserve">s to </w:t>
      </w:r>
      <w:r w:rsidR="00BA7040">
        <w:rPr>
          <w:sz w:val="24"/>
        </w:rPr>
        <w:t>buy FX, spot, and forward</w:t>
      </w:r>
      <w:r w:rsidR="00BA7040">
        <w:rPr>
          <w:sz w:val="24"/>
        </w:rPr>
        <w:tab/>
        <w:t>8.47</w:t>
      </w:r>
      <w:r>
        <w:rPr>
          <w:sz w:val="24"/>
        </w:rPr>
        <w:t>%</w:t>
      </w:r>
    </w:p>
    <w:p w:rsidR="00014C98" w:rsidRDefault="00014C98">
      <w:pPr>
        <w:tabs>
          <w:tab w:val="left" w:pos="540"/>
          <w:tab w:val="left" w:pos="1080"/>
          <w:tab w:val="left" w:pos="1620"/>
          <w:tab w:val="right" w:pos="7560"/>
        </w:tabs>
        <w:ind w:left="540" w:hanging="540"/>
        <w:rPr>
          <w:sz w:val="24"/>
        </w:rPr>
      </w:pPr>
      <w:r>
        <w:rPr>
          <w:sz w:val="24"/>
        </w:rPr>
        <w:tab/>
        <w:t>Standby LCs</w:t>
      </w:r>
      <w:r w:rsidR="003824B5">
        <w:rPr>
          <w:sz w:val="24"/>
        </w:rPr>
        <w:t xml:space="preserve"> and foreign office guarantees</w:t>
      </w:r>
      <w:r w:rsidR="003824B5">
        <w:rPr>
          <w:sz w:val="24"/>
        </w:rPr>
        <w:tab/>
      </w:r>
      <w:r w:rsidR="00BA7040">
        <w:rPr>
          <w:sz w:val="24"/>
        </w:rPr>
        <w:t>10.77</w:t>
      </w:r>
      <w:r>
        <w:rPr>
          <w:sz w:val="24"/>
        </w:rPr>
        <w:t>%</w:t>
      </w:r>
    </w:p>
    <w:p w:rsidR="00014C98" w:rsidRDefault="00014C98">
      <w:pPr>
        <w:tabs>
          <w:tab w:val="left" w:pos="540"/>
          <w:tab w:val="left" w:pos="1080"/>
          <w:tab w:val="left" w:pos="1620"/>
          <w:tab w:val="right" w:pos="7560"/>
        </w:tabs>
        <w:ind w:left="540" w:hanging="540"/>
        <w:rPr>
          <w:sz w:val="24"/>
        </w:rPr>
      </w:pPr>
      <w:r>
        <w:rPr>
          <w:sz w:val="24"/>
        </w:rPr>
        <w:tab/>
        <w:t>Commerc</w:t>
      </w:r>
      <w:r w:rsidR="00BA7040">
        <w:rPr>
          <w:sz w:val="24"/>
        </w:rPr>
        <w:t>ial LCs</w:t>
      </w:r>
      <w:r w:rsidR="00BA7040">
        <w:rPr>
          <w:sz w:val="24"/>
        </w:rPr>
        <w:tab/>
        <w:t>-0.74</w:t>
      </w:r>
      <w:r>
        <w:rPr>
          <w:sz w:val="24"/>
        </w:rPr>
        <w:t>%</w:t>
      </w:r>
    </w:p>
    <w:p w:rsidR="00014C98" w:rsidRDefault="00014C98">
      <w:pPr>
        <w:tabs>
          <w:tab w:val="left" w:pos="540"/>
          <w:tab w:val="left" w:pos="1080"/>
          <w:tab w:val="left" w:pos="1620"/>
          <w:tab w:val="right" w:pos="7560"/>
        </w:tabs>
        <w:ind w:left="540" w:hanging="540"/>
        <w:rPr>
          <w:sz w:val="24"/>
        </w:rPr>
      </w:pPr>
      <w:r>
        <w:rPr>
          <w:sz w:val="24"/>
        </w:rPr>
        <w:tab/>
      </w:r>
      <w:r w:rsidR="00BA7040">
        <w:rPr>
          <w:sz w:val="24"/>
        </w:rPr>
        <w:t>Securities borrowed</w:t>
      </w:r>
      <w:r w:rsidR="00BA7040">
        <w:rPr>
          <w:sz w:val="24"/>
        </w:rPr>
        <w:tab/>
        <w:t>11.79</w:t>
      </w:r>
      <w:r>
        <w:rPr>
          <w:sz w:val="24"/>
        </w:rPr>
        <w:t>%</w:t>
      </w:r>
    </w:p>
    <w:p w:rsidR="00014C98" w:rsidRDefault="00014C98">
      <w:pPr>
        <w:tabs>
          <w:tab w:val="left" w:pos="540"/>
          <w:tab w:val="left" w:pos="1080"/>
          <w:tab w:val="left" w:pos="1620"/>
          <w:tab w:val="right" w:pos="7560"/>
        </w:tabs>
        <w:ind w:left="540" w:hanging="540"/>
        <w:rPr>
          <w:sz w:val="24"/>
        </w:rPr>
      </w:pPr>
      <w:r>
        <w:rPr>
          <w:sz w:val="24"/>
        </w:rPr>
        <w:tab/>
        <w:t>Notional v</w:t>
      </w:r>
      <w:r w:rsidR="00BB3D8E">
        <w:rPr>
          <w:sz w:val="24"/>
        </w:rPr>
        <w:t>alue of all outstanding swaps</w:t>
      </w:r>
      <w:r w:rsidR="00BB3D8E">
        <w:rPr>
          <w:sz w:val="24"/>
        </w:rPr>
        <w:tab/>
        <w:t>2</w:t>
      </w:r>
      <w:r w:rsidR="00BA7040">
        <w:rPr>
          <w:sz w:val="24"/>
        </w:rPr>
        <w:t>3.10</w:t>
      </w:r>
      <w:r>
        <w:rPr>
          <w:sz w:val="24"/>
        </w:rPr>
        <w:t>%</w:t>
      </w:r>
    </w:p>
    <w:p w:rsidR="00014C98" w:rsidRDefault="00014C98">
      <w:pPr>
        <w:tabs>
          <w:tab w:val="left" w:pos="540"/>
          <w:tab w:val="left" w:pos="1080"/>
          <w:tab w:val="left" w:pos="1620"/>
          <w:tab w:val="right" w:pos="7560"/>
        </w:tabs>
        <w:ind w:left="540" w:hanging="540"/>
        <w:rPr>
          <w:sz w:val="24"/>
        </w:rPr>
      </w:pPr>
      <w:r>
        <w:rPr>
          <w:sz w:val="24"/>
        </w:rPr>
        <w:tab/>
      </w:r>
    </w:p>
    <w:p w:rsidR="00014C98" w:rsidRDefault="003824B5" w:rsidP="0015236A">
      <w:pPr>
        <w:tabs>
          <w:tab w:val="left" w:pos="1080"/>
          <w:tab w:val="left" w:pos="1620"/>
        </w:tabs>
        <w:rPr>
          <w:sz w:val="24"/>
        </w:rPr>
      </w:pPr>
      <w:r>
        <w:rPr>
          <w:sz w:val="24"/>
        </w:rPr>
        <w:t>Credit derivatives</w:t>
      </w:r>
      <w:r w:rsidR="00014C98">
        <w:rPr>
          <w:sz w:val="24"/>
        </w:rPr>
        <w:t xml:space="preserve"> gr</w:t>
      </w:r>
      <w:r w:rsidR="00BB3D8E">
        <w:rPr>
          <w:sz w:val="24"/>
        </w:rPr>
        <w:t>e</w:t>
      </w:r>
      <w:r w:rsidR="00014C98">
        <w:rPr>
          <w:sz w:val="24"/>
        </w:rPr>
        <w:t xml:space="preserve">w at the fastest rate of </w:t>
      </w:r>
      <w:r w:rsidR="00BA7040">
        <w:rPr>
          <w:sz w:val="24"/>
        </w:rPr>
        <w:t>43.94</w:t>
      </w:r>
      <w:r w:rsidR="00014C98">
        <w:rPr>
          <w:sz w:val="24"/>
        </w:rPr>
        <w:t xml:space="preserve"> percent, </w:t>
      </w:r>
      <w:r>
        <w:rPr>
          <w:sz w:val="24"/>
        </w:rPr>
        <w:t xml:space="preserve">yet they have a </w:t>
      </w:r>
      <w:r w:rsidR="00BB3D8E">
        <w:rPr>
          <w:sz w:val="24"/>
        </w:rPr>
        <w:t>relatively</w:t>
      </w:r>
      <w:r>
        <w:rPr>
          <w:sz w:val="24"/>
        </w:rPr>
        <w:t xml:space="preserve"> low</w:t>
      </w:r>
      <w:r w:rsidR="00014C98">
        <w:rPr>
          <w:sz w:val="24"/>
        </w:rPr>
        <w:t xml:space="preserve"> outstanding </w:t>
      </w:r>
      <w:r w:rsidR="00514F6B">
        <w:rPr>
          <w:sz w:val="24"/>
        </w:rPr>
        <w:t>balance of $</w:t>
      </w:r>
      <w:r w:rsidR="00BB3D8E">
        <w:rPr>
          <w:sz w:val="24"/>
        </w:rPr>
        <w:t>1</w:t>
      </w:r>
      <w:r w:rsidR="00BA7040">
        <w:rPr>
          <w:sz w:val="24"/>
        </w:rPr>
        <w:t>3</w:t>
      </w:r>
      <w:r w:rsidR="00BB3D8E">
        <w:rPr>
          <w:sz w:val="24"/>
        </w:rPr>
        <w:t>,</w:t>
      </w:r>
      <w:r w:rsidR="00BA7040">
        <w:rPr>
          <w:sz w:val="24"/>
        </w:rPr>
        <w:t>997.6</w:t>
      </w:r>
      <w:r w:rsidR="00514F6B">
        <w:rPr>
          <w:sz w:val="24"/>
        </w:rPr>
        <w:t xml:space="preserve"> billion. </w:t>
      </w:r>
      <w:r w:rsidR="00014C98">
        <w:rPr>
          <w:sz w:val="24"/>
        </w:rPr>
        <w:t>The rate of</w:t>
      </w:r>
      <w:r>
        <w:rPr>
          <w:sz w:val="24"/>
        </w:rPr>
        <w:t xml:space="preserve"> growth in the swap</w:t>
      </w:r>
      <w:r w:rsidR="00014C98">
        <w:rPr>
          <w:sz w:val="24"/>
        </w:rPr>
        <w:t xml:space="preserve">s area has been the second strongest at </w:t>
      </w:r>
      <w:r w:rsidR="00BB3D8E">
        <w:rPr>
          <w:sz w:val="24"/>
        </w:rPr>
        <w:t>2</w:t>
      </w:r>
      <w:r w:rsidR="00BA7040">
        <w:rPr>
          <w:sz w:val="24"/>
        </w:rPr>
        <w:t>3.10</w:t>
      </w:r>
      <w:r w:rsidR="00014C98">
        <w:rPr>
          <w:sz w:val="24"/>
        </w:rPr>
        <w:t xml:space="preserve"> percent, the dollar volume </w:t>
      </w:r>
      <w:r>
        <w:rPr>
          <w:sz w:val="24"/>
        </w:rPr>
        <w:t>is large</w:t>
      </w:r>
      <w:r w:rsidR="00014C98">
        <w:rPr>
          <w:sz w:val="24"/>
        </w:rPr>
        <w:t xml:space="preserve"> at $</w:t>
      </w:r>
      <w:r w:rsidR="00BB3D8E">
        <w:rPr>
          <w:sz w:val="24"/>
        </w:rPr>
        <w:t>1</w:t>
      </w:r>
      <w:r w:rsidR="00BA7040">
        <w:rPr>
          <w:sz w:val="24"/>
        </w:rPr>
        <w:t>35,555.8</w:t>
      </w:r>
      <w:r w:rsidR="00514F6B">
        <w:rPr>
          <w:sz w:val="24"/>
        </w:rPr>
        <w:t xml:space="preserve"> billion </w:t>
      </w:r>
      <w:r w:rsidR="00BB3D8E">
        <w:rPr>
          <w:sz w:val="24"/>
        </w:rPr>
        <w:t>in</w:t>
      </w:r>
      <w:r w:rsidR="00514F6B">
        <w:rPr>
          <w:sz w:val="24"/>
        </w:rPr>
        <w:t xml:space="preserve"> 20</w:t>
      </w:r>
      <w:r w:rsidR="00BA7040">
        <w:rPr>
          <w:sz w:val="24"/>
        </w:rPr>
        <w:t>12</w:t>
      </w:r>
      <w:r w:rsidR="00514F6B">
        <w:rPr>
          <w:sz w:val="24"/>
        </w:rPr>
        <w:t xml:space="preserve">. </w:t>
      </w:r>
      <w:r w:rsidR="00BB3D8E">
        <w:rPr>
          <w:sz w:val="24"/>
        </w:rPr>
        <w:t>Option contracts</w:t>
      </w:r>
      <w:r w:rsidR="00014C98">
        <w:rPr>
          <w:sz w:val="24"/>
        </w:rPr>
        <w:t xml:space="preserve"> grew at an annual rate of </w:t>
      </w:r>
      <w:r w:rsidR="00BA7040">
        <w:rPr>
          <w:sz w:val="24"/>
        </w:rPr>
        <w:t>16</w:t>
      </w:r>
      <w:r w:rsidR="00014C98">
        <w:rPr>
          <w:sz w:val="24"/>
        </w:rPr>
        <w:t>.</w:t>
      </w:r>
      <w:r w:rsidR="00BA7040">
        <w:rPr>
          <w:sz w:val="24"/>
        </w:rPr>
        <w:t>52</w:t>
      </w:r>
      <w:r w:rsidR="00014C98">
        <w:rPr>
          <w:sz w:val="24"/>
        </w:rPr>
        <w:t xml:space="preserve"> percent with a dol</w:t>
      </w:r>
      <w:r>
        <w:rPr>
          <w:sz w:val="24"/>
        </w:rPr>
        <w:t xml:space="preserve">lar value </w:t>
      </w:r>
      <w:r w:rsidR="00BB3D8E">
        <w:rPr>
          <w:sz w:val="24"/>
        </w:rPr>
        <w:t xml:space="preserve">outstanding </w:t>
      </w:r>
      <w:r>
        <w:rPr>
          <w:sz w:val="24"/>
        </w:rPr>
        <w:t>of $</w:t>
      </w:r>
      <w:r w:rsidR="00BB3D8E">
        <w:rPr>
          <w:sz w:val="24"/>
        </w:rPr>
        <w:t>3</w:t>
      </w:r>
      <w:r w:rsidR="00BA7040">
        <w:rPr>
          <w:sz w:val="24"/>
        </w:rPr>
        <w:t>3</w:t>
      </w:r>
      <w:r w:rsidR="00BB3D8E">
        <w:rPr>
          <w:sz w:val="24"/>
        </w:rPr>
        <w:t>,</w:t>
      </w:r>
      <w:r w:rsidR="00BA7040">
        <w:rPr>
          <w:sz w:val="24"/>
        </w:rPr>
        <w:t>553</w:t>
      </w:r>
      <w:r w:rsidR="00BB3D8E">
        <w:rPr>
          <w:sz w:val="24"/>
        </w:rPr>
        <w:t>.</w:t>
      </w:r>
      <w:r w:rsidR="00BA7040">
        <w:rPr>
          <w:sz w:val="24"/>
        </w:rPr>
        <w:t>1</w:t>
      </w:r>
      <w:r w:rsidR="00514F6B">
        <w:rPr>
          <w:sz w:val="24"/>
        </w:rPr>
        <w:t xml:space="preserve"> billion.</w:t>
      </w:r>
      <w:r w:rsidR="00014C98">
        <w:rPr>
          <w:sz w:val="24"/>
        </w:rPr>
        <w:t xml:space="preserve"> Clearly the strongest growth involves derivative areas.</w:t>
      </w:r>
    </w:p>
    <w:p w:rsidR="00014C98" w:rsidRDefault="00014C98">
      <w:pPr>
        <w:tabs>
          <w:tab w:val="left" w:pos="1080"/>
          <w:tab w:val="left" w:pos="1620"/>
        </w:tabs>
        <w:ind w:left="540" w:hanging="540"/>
        <w:rPr>
          <w:sz w:val="24"/>
        </w:rPr>
      </w:pPr>
    </w:p>
    <w:p w:rsidR="00014C98" w:rsidRDefault="00014C98">
      <w:pPr>
        <w:numPr>
          <w:ilvl w:val="1"/>
          <w:numId w:val="27"/>
        </w:numPr>
        <w:tabs>
          <w:tab w:val="clear" w:pos="1440"/>
          <w:tab w:val="left" w:pos="900"/>
          <w:tab w:val="left" w:pos="1080"/>
          <w:tab w:val="left" w:pos="1620"/>
        </w:tabs>
        <w:ind w:left="900"/>
        <w:rPr>
          <w:sz w:val="24"/>
        </w:rPr>
      </w:pPr>
      <w:r>
        <w:rPr>
          <w:sz w:val="24"/>
        </w:rPr>
        <w:t>What factors are credited for the significant growth in derivative securities activities by banks?</w:t>
      </w:r>
    </w:p>
    <w:p w:rsidR="00014C98" w:rsidRDefault="00014C98">
      <w:pPr>
        <w:tabs>
          <w:tab w:val="left" w:pos="1080"/>
          <w:tab w:val="left" w:pos="1620"/>
        </w:tabs>
        <w:rPr>
          <w:sz w:val="24"/>
        </w:rPr>
      </w:pPr>
    </w:p>
    <w:p w:rsidR="00014C98" w:rsidRDefault="00014C98" w:rsidP="00112B09">
      <w:pPr>
        <w:pStyle w:val="BodyTextIndent"/>
        <w:tabs>
          <w:tab w:val="clear" w:pos="540"/>
          <w:tab w:val="left" w:pos="1080"/>
        </w:tabs>
        <w:ind w:left="0" w:firstLine="0"/>
      </w:pPr>
      <w:r>
        <w:t>The primary use of derivative products has been in the areas of interest rate, credit, and for</w:t>
      </w:r>
      <w:r w:rsidR="00514F6B">
        <w:t xml:space="preserve">eign exchange risk management. </w:t>
      </w:r>
      <w:r>
        <w:t>As banks and other financial institutions have pursued the use of these instruments, the international financial markets have responded by extending the variations of the products available to the institutions.</w:t>
      </w:r>
    </w:p>
    <w:p w:rsidR="008A1F5A" w:rsidRDefault="008A1F5A">
      <w:pPr>
        <w:rPr>
          <w:sz w:val="24"/>
        </w:rPr>
      </w:pPr>
      <w:r>
        <w:rPr>
          <w:sz w:val="24"/>
        </w:rPr>
        <w:br w:type="page"/>
      </w:r>
    </w:p>
    <w:p w:rsidR="00014C98" w:rsidRDefault="00014C98">
      <w:pPr>
        <w:tabs>
          <w:tab w:val="left" w:pos="1080"/>
          <w:tab w:val="left" w:pos="1620"/>
        </w:tabs>
        <w:rPr>
          <w:sz w:val="24"/>
        </w:rPr>
      </w:pPr>
    </w:p>
    <w:p w:rsidR="00014C98" w:rsidRDefault="00014C98">
      <w:pPr>
        <w:pStyle w:val="BodyTextIndent"/>
        <w:tabs>
          <w:tab w:val="left" w:pos="1080"/>
        </w:tabs>
      </w:pPr>
      <w:r>
        <w:t>11.</w:t>
      </w:r>
      <w:r>
        <w:tab/>
        <w:t>For each of the following banking organizations, identify which regulatory agencies (OCC, FRB, FDIC, or state banking commission) may have some regulatory supervision responsibility.</w:t>
      </w:r>
    </w:p>
    <w:p w:rsidR="00014C98" w:rsidRDefault="00014C98">
      <w:pPr>
        <w:tabs>
          <w:tab w:val="left" w:pos="540"/>
          <w:tab w:val="left" w:pos="1080"/>
          <w:tab w:val="right" w:pos="4320"/>
          <w:tab w:val="left" w:pos="5400"/>
          <w:tab w:val="right" w:pos="8640"/>
        </w:tabs>
        <w:rPr>
          <w:sz w:val="24"/>
        </w:rPr>
      </w:pPr>
    </w:p>
    <w:p w:rsidR="00014C98" w:rsidRDefault="00014C98">
      <w:pPr>
        <w:pStyle w:val="BodyText"/>
        <w:tabs>
          <w:tab w:val="left" w:pos="540"/>
          <w:tab w:val="left" w:pos="900"/>
          <w:tab w:val="right" w:pos="4320"/>
          <w:tab w:val="left" w:pos="5400"/>
          <w:tab w:val="right" w:pos="8640"/>
        </w:tabs>
      </w:pPr>
      <w:r>
        <w:tab/>
        <w:t>(a)</w:t>
      </w:r>
      <w:r>
        <w:tab/>
        <w:t>State-chartered, nonmember, non</w:t>
      </w:r>
      <w:r w:rsidR="003824B5">
        <w:t xml:space="preserve">-holding </w:t>
      </w:r>
      <w:r>
        <w:t>company bank.</w:t>
      </w:r>
    </w:p>
    <w:p w:rsidR="00014C98" w:rsidRDefault="00014C98">
      <w:pPr>
        <w:numPr>
          <w:ilvl w:val="0"/>
          <w:numId w:val="30"/>
        </w:numPr>
        <w:tabs>
          <w:tab w:val="left" w:pos="540"/>
          <w:tab w:val="left" w:pos="900"/>
          <w:tab w:val="right" w:pos="4320"/>
          <w:tab w:val="left" w:pos="5400"/>
          <w:tab w:val="right" w:pos="8640"/>
        </w:tabs>
        <w:rPr>
          <w:sz w:val="24"/>
        </w:rPr>
      </w:pPr>
      <w:r>
        <w:rPr>
          <w:sz w:val="24"/>
        </w:rPr>
        <w:t>Sta</w:t>
      </w:r>
      <w:r w:rsidR="003824B5">
        <w:rPr>
          <w:sz w:val="24"/>
        </w:rPr>
        <w:t xml:space="preserve">te-chartered, nonmember holding </w:t>
      </w:r>
      <w:r>
        <w:rPr>
          <w:sz w:val="24"/>
        </w:rPr>
        <w:t>company bank</w:t>
      </w:r>
    </w:p>
    <w:p w:rsidR="00014C98" w:rsidRDefault="00014C98">
      <w:pPr>
        <w:tabs>
          <w:tab w:val="left" w:pos="540"/>
          <w:tab w:val="left" w:pos="900"/>
          <w:tab w:val="left" w:pos="5400"/>
          <w:tab w:val="right" w:pos="8640"/>
        </w:tabs>
        <w:ind w:left="540"/>
        <w:rPr>
          <w:sz w:val="24"/>
        </w:rPr>
      </w:pPr>
      <w:r>
        <w:rPr>
          <w:sz w:val="24"/>
        </w:rPr>
        <w:t>(c)</w:t>
      </w:r>
      <w:r>
        <w:rPr>
          <w:sz w:val="24"/>
        </w:rPr>
        <w:tab/>
        <w:t>State-chartered member bank</w:t>
      </w:r>
    </w:p>
    <w:p w:rsidR="00014C98" w:rsidRDefault="00014C98">
      <w:pPr>
        <w:numPr>
          <w:ilvl w:val="0"/>
          <w:numId w:val="29"/>
        </w:numPr>
        <w:tabs>
          <w:tab w:val="left" w:pos="540"/>
          <w:tab w:val="left" w:pos="5400"/>
          <w:tab w:val="right" w:pos="8640"/>
        </w:tabs>
        <w:rPr>
          <w:sz w:val="24"/>
        </w:rPr>
      </w:pPr>
      <w:r>
        <w:rPr>
          <w:sz w:val="24"/>
        </w:rPr>
        <w:t>Nationally chartered non</w:t>
      </w:r>
      <w:r w:rsidR="003824B5">
        <w:rPr>
          <w:sz w:val="24"/>
        </w:rPr>
        <w:t xml:space="preserve">-holding </w:t>
      </w:r>
      <w:r>
        <w:rPr>
          <w:sz w:val="24"/>
        </w:rPr>
        <w:t>company bank.</w:t>
      </w:r>
    </w:p>
    <w:p w:rsidR="00014C98" w:rsidRDefault="003824B5">
      <w:pPr>
        <w:numPr>
          <w:ilvl w:val="0"/>
          <w:numId w:val="29"/>
        </w:numPr>
        <w:tabs>
          <w:tab w:val="left" w:pos="540"/>
          <w:tab w:val="right" w:pos="4320"/>
          <w:tab w:val="left" w:pos="5400"/>
          <w:tab w:val="right" w:pos="8640"/>
        </w:tabs>
        <w:rPr>
          <w:sz w:val="24"/>
        </w:rPr>
      </w:pPr>
      <w:r>
        <w:rPr>
          <w:sz w:val="24"/>
        </w:rPr>
        <w:t xml:space="preserve">Nationally chartered holding </w:t>
      </w:r>
      <w:r w:rsidR="00014C98">
        <w:rPr>
          <w:sz w:val="24"/>
        </w:rPr>
        <w:t>company bank</w:t>
      </w:r>
    </w:p>
    <w:p w:rsidR="00014C98" w:rsidRDefault="00014C98">
      <w:pPr>
        <w:tabs>
          <w:tab w:val="left" w:pos="540"/>
          <w:tab w:val="left" w:pos="900"/>
          <w:tab w:val="right" w:pos="4320"/>
          <w:tab w:val="left" w:pos="5400"/>
          <w:tab w:val="right" w:pos="8640"/>
        </w:tabs>
        <w:ind w:left="540"/>
        <w:rPr>
          <w:sz w:val="24"/>
        </w:rPr>
      </w:pPr>
    </w:p>
    <w:tbl>
      <w:tblPr>
        <w:tblW w:w="0" w:type="auto"/>
        <w:tblLayout w:type="fixed"/>
        <w:tblCellMar>
          <w:left w:w="30" w:type="dxa"/>
          <w:right w:w="30" w:type="dxa"/>
        </w:tblCellMar>
        <w:tblLook w:val="0000" w:firstRow="0" w:lastRow="0" w:firstColumn="0" w:lastColumn="0" w:noHBand="0" w:noVBand="0"/>
      </w:tblPr>
      <w:tblGrid>
        <w:gridCol w:w="1008"/>
        <w:gridCol w:w="1070"/>
        <w:gridCol w:w="1071"/>
        <w:gridCol w:w="960"/>
        <w:gridCol w:w="1070"/>
        <w:gridCol w:w="1008"/>
      </w:tblGrid>
      <w:tr w:rsidR="00014C98">
        <w:trPr>
          <w:trHeight w:val="250"/>
        </w:trPr>
        <w:tc>
          <w:tcPr>
            <w:tcW w:w="1008" w:type="dxa"/>
          </w:tcPr>
          <w:p w:rsidR="00014C98" w:rsidRDefault="00014C98">
            <w:pPr>
              <w:jc w:val="right"/>
              <w:rPr>
                <w:rFonts w:ascii="Arial" w:hAnsi="Arial"/>
                <w:snapToGrid w:val="0"/>
                <w:color w:val="000000"/>
              </w:rPr>
            </w:pPr>
          </w:p>
        </w:tc>
        <w:tc>
          <w:tcPr>
            <w:tcW w:w="1070" w:type="dxa"/>
          </w:tcPr>
          <w:p w:rsidR="00014C98" w:rsidRDefault="00014C98">
            <w:pPr>
              <w:rPr>
                <w:rFonts w:ascii="Arial" w:hAnsi="Arial"/>
                <w:snapToGrid w:val="0"/>
                <w:color w:val="000000"/>
                <w:u w:val="single"/>
              </w:rPr>
            </w:pPr>
            <w:r>
              <w:rPr>
                <w:rFonts w:ascii="Arial" w:hAnsi="Arial"/>
                <w:snapToGrid w:val="0"/>
                <w:color w:val="000000"/>
                <w:u w:val="single"/>
              </w:rPr>
              <w:t>Bank Type</w:t>
            </w:r>
          </w:p>
        </w:tc>
        <w:tc>
          <w:tcPr>
            <w:tcW w:w="1071" w:type="dxa"/>
          </w:tcPr>
          <w:p w:rsidR="00014C98" w:rsidRDefault="00014C98">
            <w:pPr>
              <w:jc w:val="center"/>
              <w:rPr>
                <w:rFonts w:ascii="Arial" w:hAnsi="Arial"/>
                <w:snapToGrid w:val="0"/>
                <w:color w:val="000000"/>
                <w:u w:val="single"/>
              </w:rPr>
            </w:pPr>
            <w:r>
              <w:rPr>
                <w:rFonts w:ascii="Arial" w:hAnsi="Arial"/>
                <w:snapToGrid w:val="0"/>
                <w:color w:val="000000"/>
                <w:u w:val="single"/>
              </w:rPr>
              <w:t>OCC</w:t>
            </w:r>
          </w:p>
        </w:tc>
        <w:tc>
          <w:tcPr>
            <w:tcW w:w="960" w:type="dxa"/>
          </w:tcPr>
          <w:p w:rsidR="00014C98" w:rsidRDefault="00014C98">
            <w:pPr>
              <w:jc w:val="center"/>
              <w:rPr>
                <w:rFonts w:ascii="Arial" w:hAnsi="Arial"/>
                <w:snapToGrid w:val="0"/>
                <w:color w:val="000000"/>
                <w:u w:val="single"/>
              </w:rPr>
            </w:pPr>
            <w:r>
              <w:rPr>
                <w:rFonts w:ascii="Arial" w:hAnsi="Arial"/>
                <w:snapToGrid w:val="0"/>
                <w:color w:val="000000"/>
                <w:u w:val="single"/>
              </w:rPr>
              <w:t>FRB</w:t>
            </w:r>
          </w:p>
        </w:tc>
        <w:tc>
          <w:tcPr>
            <w:tcW w:w="1070" w:type="dxa"/>
          </w:tcPr>
          <w:p w:rsidR="00014C98" w:rsidRDefault="00014C98">
            <w:pPr>
              <w:jc w:val="center"/>
              <w:rPr>
                <w:rFonts w:ascii="Arial" w:hAnsi="Arial"/>
                <w:snapToGrid w:val="0"/>
                <w:color w:val="000000"/>
                <w:u w:val="single"/>
              </w:rPr>
            </w:pPr>
            <w:r>
              <w:rPr>
                <w:rFonts w:ascii="Arial" w:hAnsi="Arial"/>
                <w:snapToGrid w:val="0"/>
                <w:color w:val="000000"/>
                <w:u w:val="single"/>
              </w:rPr>
              <w:t>FDIC</w:t>
            </w:r>
          </w:p>
        </w:tc>
        <w:tc>
          <w:tcPr>
            <w:tcW w:w="1008" w:type="dxa"/>
          </w:tcPr>
          <w:p w:rsidR="00014C98" w:rsidRDefault="00014C98" w:rsidP="009A18E4">
            <w:pPr>
              <w:jc w:val="center"/>
              <w:rPr>
                <w:rFonts w:ascii="Arial" w:hAnsi="Arial"/>
                <w:snapToGrid w:val="0"/>
                <w:color w:val="000000"/>
                <w:u w:val="single"/>
              </w:rPr>
            </w:pPr>
            <w:r>
              <w:rPr>
                <w:rFonts w:ascii="Arial" w:hAnsi="Arial"/>
                <w:snapToGrid w:val="0"/>
                <w:color w:val="000000"/>
                <w:u w:val="single"/>
              </w:rPr>
              <w:t>SB</w:t>
            </w:r>
            <w:r w:rsidR="009A18E4">
              <w:rPr>
                <w:rFonts w:ascii="Arial" w:hAnsi="Arial"/>
                <w:snapToGrid w:val="0"/>
                <w:color w:val="000000"/>
                <w:u w:val="single"/>
              </w:rPr>
              <w:t xml:space="preserve"> </w:t>
            </w:r>
            <w:proofErr w:type="spellStart"/>
            <w:r>
              <w:rPr>
                <w:rFonts w:ascii="Arial" w:hAnsi="Arial"/>
                <w:snapToGrid w:val="0"/>
                <w:color w:val="000000"/>
                <w:u w:val="single"/>
              </w:rPr>
              <w:t>Com</w:t>
            </w:r>
            <w:r w:rsidR="009A18E4">
              <w:rPr>
                <w:rFonts w:ascii="Arial" w:hAnsi="Arial"/>
                <w:snapToGrid w:val="0"/>
                <w:color w:val="000000"/>
                <w:u w:val="single"/>
              </w:rPr>
              <w:t>m</w:t>
            </w:r>
            <w:proofErr w:type="spellEnd"/>
          </w:p>
        </w:tc>
      </w:tr>
      <w:tr w:rsidR="00014C98">
        <w:trPr>
          <w:trHeight w:val="250"/>
        </w:trPr>
        <w:tc>
          <w:tcPr>
            <w:tcW w:w="1008" w:type="dxa"/>
          </w:tcPr>
          <w:p w:rsidR="00014C98" w:rsidRDefault="00014C98">
            <w:pPr>
              <w:jc w:val="right"/>
              <w:rPr>
                <w:rFonts w:ascii="Arial" w:hAnsi="Arial"/>
                <w:snapToGrid w:val="0"/>
                <w:color w:val="000000"/>
              </w:rPr>
            </w:pPr>
          </w:p>
        </w:tc>
        <w:tc>
          <w:tcPr>
            <w:tcW w:w="1070" w:type="dxa"/>
          </w:tcPr>
          <w:p w:rsidR="00014C98" w:rsidRDefault="00014C98">
            <w:pPr>
              <w:jc w:val="center"/>
              <w:rPr>
                <w:rFonts w:ascii="Arial" w:hAnsi="Arial"/>
                <w:snapToGrid w:val="0"/>
                <w:color w:val="000000"/>
              </w:rPr>
            </w:pPr>
            <w:r>
              <w:rPr>
                <w:rFonts w:ascii="Arial" w:hAnsi="Arial"/>
                <w:snapToGrid w:val="0"/>
                <w:color w:val="000000"/>
              </w:rPr>
              <w:t>(a)</w:t>
            </w:r>
          </w:p>
        </w:tc>
        <w:tc>
          <w:tcPr>
            <w:tcW w:w="1071" w:type="dxa"/>
          </w:tcPr>
          <w:p w:rsidR="00014C98" w:rsidRDefault="00014C98">
            <w:pPr>
              <w:jc w:val="center"/>
              <w:rPr>
                <w:rFonts w:ascii="Arial" w:hAnsi="Arial"/>
                <w:snapToGrid w:val="0"/>
                <w:color w:val="000000"/>
              </w:rPr>
            </w:pPr>
          </w:p>
        </w:tc>
        <w:tc>
          <w:tcPr>
            <w:tcW w:w="960" w:type="dxa"/>
          </w:tcPr>
          <w:p w:rsidR="00014C98" w:rsidRDefault="00014C98">
            <w:pPr>
              <w:jc w:val="center"/>
              <w:rPr>
                <w:rFonts w:ascii="Arial" w:hAnsi="Arial"/>
                <w:snapToGrid w:val="0"/>
                <w:color w:val="000000"/>
              </w:rPr>
            </w:pPr>
          </w:p>
        </w:tc>
        <w:tc>
          <w:tcPr>
            <w:tcW w:w="1070" w:type="dxa"/>
          </w:tcPr>
          <w:p w:rsidR="00014C98" w:rsidRDefault="00014C98">
            <w:pPr>
              <w:jc w:val="center"/>
              <w:rPr>
                <w:rFonts w:ascii="Arial" w:hAnsi="Arial"/>
                <w:snapToGrid w:val="0"/>
                <w:color w:val="000000"/>
              </w:rPr>
            </w:pPr>
            <w:r>
              <w:rPr>
                <w:rFonts w:ascii="Arial" w:hAnsi="Arial"/>
                <w:snapToGrid w:val="0"/>
                <w:color w:val="000000"/>
              </w:rPr>
              <w:t>Yes</w:t>
            </w:r>
          </w:p>
        </w:tc>
        <w:tc>
          <w:tcPr>
            <w:tcW w:w="1008" w:type="dxa"/>
          </w:tcPr>
          <w:p w:rsidR="00014C98" w:rsidRDefault="00014C98">
            <w:pPr>
              <w:jc w:val="center"/>
              <w:rPr>
                <w:rFonts w:ascii="Arial" w:hAnsi="Arial"/>
                <w:snapToGrid w:val="0"/>
                <w:color w:val="000000"/>
              </w:rPr>
            </w:pPr>
            <w:r>
              <w:rPr>
                <w:rFonts w:ascii="Arial" w:hAnsi="Arial"/>
                <w:snapToGrid w:val="0"/>
                <w:color w:val="000000"/>
              </w:rPr>
              <w:t>Yes</w:t>
            </w:r>
          </w:p>
        </w:tc>
      </w:tr>
      <w:tr w:rsidR="00014C98">
        <w:trPr>
          <w:trHeight w:val="250"/>
        </w:trPr>
        <w:tc>
          <w:tcPr>
            <w:tcW w:w="1008" w:type="dxa"/>
          </w:tcPr>
          <w:p w:rsidR="00014C98" w:rsidRDefault="00014C98">
            <w:pPr>
              <w:jc w:val="right"/>
              <w:rPr>
                <w:rFonts w:ascii="Arial" w:hAnsi="Arial"/>
                <w:snapToGrid w:val="0"/>
                <w:color w:val="000000"/>
              </w:rPr>
            </w:pPr>
          </w:p>
        </w:tc>
        <w:tc>
          <w:tcPr>
            <w:tcW w:w="1070" w:type="dxa"/>
          </w:tcPr>
          <w:p w:rsidR="00014C98" w:rsidRDefault="00014C98">
            <w:pPr>
              <w:jc w:val="center"/>
              <w:rPr>
                <w:rFonts w:ascii="Arial" w:hAnsi="Arial"/>
                <w:snapToGrid w:val="0"/>
                <w:color w:val="000000"/>
              </w:rPr>
            </w:pPr>
            <w:r>
              <w:rPr>
                <w:rFonts w:ascii="Arial" w:hAnsi="Arial"/>
                <w:snapToGrid w:val="0"/>
                <w:color w:val="000000"/>
              </w:rPr>
              <w:t>(b)</w:t>
            </w:r>
          </w:p>
        </w:tc>
        <w:tc>
          <w:tcPr>
            <w:tcW w:w="1071" w:type="dxa"/>
          </w:tcPr>
          <w:p w:rsidR="00014C98" w:rsidRDefault="00014C98">
            <w:pPr>
              <w:jc w:val="center"/>
              <w:rPr>
                <w:rFonts w:ascii="Arial" w:hAnsi="Arial"/>
                <w:snapToGrid w:val="0"/>
                <w:color w:val="000000"/>
              </w:rPr>
            </w:pPr>
          </w:p>
        </w:tc>
        <w:tc>
          <w:tcPr>
            <w:tcW w:w="960" w:type="dxa"/>
          </w:tcPr>
          <w:p w:rsidR="00014C98" w:rsidRDefault="00014C98">
            <w:pPr>
              <w:jc w:val="center"/>
              <w:rPr>
                <w:rFonts w:ascii="Arial" w:hAnsi="Arial"/>
                <w:snapToGrid w:val="0"/>
                <w:color w:val="000000"/>
              </w:rPr>
            </w:pPr>
            <w:r>
              <w:rPr>
                <w:rFonts w:ascii="Arial" w:hAnsi="Arial"/>
                <w:snapToGrid w:val="0"/>
                <w:color w:val="000000"/>
              </w:rPr>
              <w:t>Yes</w:t>
            </w:r>
          </w:p>
        </w:tc>
        <w:tc>
          <w:tcPr>
            <w:tcW w:w="1070" w:type="dxa"/>
          </w:tcPr>
          <w:p w:rsidR="00014C98" w:rsidRDefault="00014C98">
            <w:pPr>
              <w:jc w:val="center"/>
              <w:rPr>
                <w:rFonts w:ascii="Arial" w:hAnsi="Arial"/>
                <w:snapToGrid w:val="0"/>
                <w:color w:val="000000"/>
              </w:rPr>
            </w:pPr>
            <w:r>
              <w:rPr>
                <w:rFonts w:ascii="Arial" w:hAnsi="Arial"/>
                <w:snapToGrid w:val="0"/>
                <w:color w:val="000000"/>
              </w:rPr>
              <w:t>Yes</w:t>
            </w:r>
          </w:p>
        </w:tc>
        <w:tc>
          <w:tcPr>
            <w:tcW w:w="1008" w:type="dxa"/>
          </w:tcPr>
          <w:p w:rsidR="00014C98" w:rsidRDefault="00014C98">
            <w:pPr>
              <w:jc w:val="center"/>
              <w:rPr>
                <w:rFonts w:ascii="Arial" w:hAnsi="Arial"/>
                <w:snapToGrid w:val="0"/>
                <w:color w:val="000000"/>
              </w:rPr>
            </w:pPr>
            <w:r>
              <w:rPr>
                <w:rFonts w:ascii="Arial" w:hAnsi="Arial"/>
                <w:snapToGrid w:val="0"/>
                <w:color w:val="000000"/>
              </w:rPr>
              <w:t>Yes</w:t>
            </w:r>
          </w:p>
        </w:tc>
      </w:tr>
      <w:tr w:rsidR="00014C98">
        <w:trPr>
          <w:trHeight w:val="250"/>
        </w:trPr>
        <w:tc>
          <w:tcPr>
            <w:tcW w:w="1008" w:type="dxa"/>
          </w:tcPr>
          <w:p w:rsidR="00014C98" w:rsidRDefault="00014C98">
            <w:pPr>
              <w:jc w:val="right"/>
              <w:rPr>
                <w:rFonts w:ascii="Arial" w:hAnsi="Arial"/>
                <w:snapToGrid w:val="0"/>
                <w:color w:val="000000"/>
              </w:rPr>
            </w:pPr>
          </w:p>
        </w:tc>
        <w:tc>
          <w:tcPr>
            <w:tcW w:w="1070" w:type="dxa"/>
          </w:tcPr>
          <w:p w:rsidR="00014C98" w:rsidRDefault="00014C98">
            <w:pPr>
              <w:jc w:val="center"/>
              <w:rPr>
                <w:rFonts w:ascii="Arial" w:hAnsi="Arial"/>
                <w:snapToGrid w:val="0"/>
                <w:color w:val="000000"/>
              </w:rPr>
            </w:pPr>
            <w:r>
              <w:rPr>
                <w:rFonts w:ascii="Arial" w:hAnsi="Arial"/>
                <w:snapToGrid w:val="0"/>
                <w:color w:val="000000"/>
              </w:rPr>
              <w:t>(c)</w:t>
            </w:r>
          </w:p>
        </w:tc>
        <w:tc>
          <w:tcPr>
            <w:tcW w:w="1071" w:type="dxa"/>
          </w:tcPr>
          <w:p w:rsidR="00014C98" w:rsidRDefault="00014C98">
            <w:pPr>
              <w:jc w:val="center"/>
              <w:rPr>
                <w:rFonts w:ascii="Arial" w:hAnsi="Arial"/>
                <w:snapToGrid w:val="0"/>
                <w:color w:val="000000"/>
              </w:rPr>
            </w:pPr>
          </w:p>
        </w:tc>
        <w:tc>
          <w:tcPr>
            <w:tcW w:w="960" w:type="dxa"/>
          </w:tcPr>
          <w:p w:rsidR="00014C98" w:rsidRDefault="00014C98">
            <w:pPr>
              <w:jc w:val="center"/>
              <w:rPr>
                <w:rFonts w:ascii="Arial" w:hAnsi="Arial"/>
                <w:snapToGrid w:val="0"/>
                <w:color w:val="000000"/>
              </w:rPr>
            </w:pPr>
            <w:r>
              <w:rPr>
                <w:rFonts w:ascii="Arial" w:hAnsi="Arial"/>
                <w:snapToGrid w:val="0"/>
                <w:color w:val="000000"/>
              </w:rPr>
              <w:t>Yes</w:t>
            </w:r>
          </w:p>
        </w:tc>
        <w:tc>
          <w:tcPr>
            <w:tcW w:w="1070" w:type="dxa"/>
          </w:tcPr>
          <w:p w:rsidR="00014C98" w:rsidRDefault="00014C98">
            <w:pPr>
              <w:jc w:val="center"/>
              <w:rPr>
                <w:rFonts w:ascii="Arial" w:hAnsi="Arial"/>
                <w:snapToGrid w:val="0"/>
                <w:color w:val="000000"/>
              </w:rPr>
            </w:pPr>
            <w:r>
              <w:rPr>
                <w:rFonts w:ascii="Arial" w:hAnsi="Arial"/>
                <w:snapToGrid w:val="0"/>
                <w:color w:val="000000"/>
              </w:rPr>
              <w:t>Yes</w:t>
            </w:r>
          </w:p>
        </w:tc>
        <w:tc>
          <w:tcPr>
            <w:tcW w:w="1008" w:type="dxa"/>
          </w:tcPr>
          <w:p w:rsidR="00014C98" w:rsidRDefault="00014C98">
            <w:pPr>
              <w:jc w:val="center"/>
              <w:rPr>
                <w:rFonts w:ascii="Arial" w:hAnsi="Arial"/>
                <w:snapToGrid w:val="0"/>
                <w:color w:val="000000"/>
              </w:rPr>
            </w:pPr>
            <w:r>
              <w:rPr>
                <w:rFonts w:ascii="Arial" w:hAnsi="Arial"/>
                <w:snapToGrid w:val="0"/>
                <w:color w:val="000000"/>
              </w:rPr>
              <w:t>Yes</w:t>
            </w:r>
          </w:p>
        </w:tc>
      </w:tr>
      <w:tr w:rsidR="00014C98">
        <w:trPr>
          <w:trHeight w:val="250"/>
        </w:trPr>
        <w:tc>
          <w:tcPr>
            <w:tcW w:w="1008" w:type="dxa"/>
          </w:tcPr>
          <w:p w:rsidR="00014C98" w:rsidRDefault="00014C98">
            <w:pPr>
              <w:jc w:val="right"/>
              <w:rPr>
                <w:rFonts w:ascii="Arial" w:hAnsi="Arial"/>
                <w:snapToGrid w:val="0"/>
                <w:color w:val="000000"/>
              </w:rPr>
            </w:pPr>
          </w:p>
        </w:tc>
        <w:tc>
          <w:tcPr>
            <w:tcW w:w="1070" w:type="dxa"/>
          </w:tcPr>
          <w:p w:rsidR="00014C98" w:rsidRDefault="00014C98">
            <w:pPr>
              <w:jc w:val="center"/>
              <w:rPr>
                <w:rFonts w:ascii="Arial" w:hAnsi="Arial"/>
                <w:snapToGrid w:val="0"/>
                <w:color w:val="000000"/>
              </w:rPr>
            </w:pPr>
            <w:r>
              <w:rPr>
                <w:rFonts w:ascii="Arial" w:hAnsi="Arial"/>
                <w:snapToGrid w:val="0"/>
                <w:color w:val="000000"/>
              </w:rPr>
              <w:t>(d)</w:t>
            </w:r>
          </w:p>
        </w:tc>
        <w:tc>
          <w:tcPr>
            <w:tcW w:w="1071" w:type="dxa"/>
          </w:tcPr>
          <w:p w:rsidR="00014C98" w:rsidRDefault="00014C98">
            <w:pPr>
              <w:jc w:val="center"/>
              <w:rPr>
                <w:rFonts w:ascii="Arial" w:hAnsi="Arial"/>
                <w:snapToGrid w:val="0"/>
                <w:color w:val="000000"/>
              </w:rPr>
            </w:pPr>
            <w:r>
              <w:rPr>
                <w:rFonts w:ascii="Arial" w:hAnsi="Arial"/>
                <w:snapToGrid w:val="0"/>
                <w:color w:val="000000"/>
              </w:rPr>
              <w:t>Yes</w:t>
            </w:r>
          </w:p>
        </w:tc>
        <w:tc>
          <w:tcPr>
            <w:tcW w:w="960" w:type="dxa"/>
          </w:tcPr>
          <w:p w:rsidR="00014C98" w:rsidRDefault="00014C98">
            <w:pPr>
              <w:jc w:val="center"/>
              <w:rPr>
                <w:rFonts w:ascii="Arial" w:hAnsi="Arial"/>
                <w:snapToGrid w:val="0"/>
                <w:color w:val="000000"/>
              </w:rPr>
            </w:pPr>
            <w:r>
              <w:rPr>
                <w:rFonts w:ascii="Arial" w:hAnsi="Arial"/>
                <w:snapToGrid w:val="0"/>
                <w:color w:val="000000"/>
              </w:rPr>
              <w:t>Yes</w:t>
            </w:r>
          </w:p>
        </w:tc>
        <w:tc>
          <w:tcPr>
            <w:tcW w:w="1070" w:type="dxa"/>
          </w:tcPr>
          <w:p w:rsidR="00014C98" w:rsidRDefault="00014C98">
            <w:pPr>
              <w:jc w:val="center"/>
              <w:rPr>
                <w:rFonts w:ascii="Arial" w:hAnsi="Arial"/>
                <w:snapToGrid w:val="0"/>
                <w:color w:val="000000"/>
              </w:rPr>
            </w:pPr>
            <w:r>
              <w:rPr>
                <w:rFonts w:ascii="Arial" w:hAnsi="Arial"/>
                <w:snapToGrid w:val="0"/>
                <w:color w:val="000000"/>
              </w:rPr>
              <w:t>Yes</w:t>
            </w:r>
          </w:p>
        </w:tc>
        <w:tc>
          <w:tcPr>
            <w:tcW w:w="1008" w:type="dxa"/>
          </w:tcPr>
          <w:p w:rsidR="00014C98" w:rsidRDefault="00014C98">
            <w:pPr>
              <w:jc w:val="center"/>
              <w:rPr>
                <w:rFonts w:ascii="Arial" w:hAnsi="Arial"/>
                <w:snapToGrid w:val="0"/>
                <w:color w:val="000000"/>
              </w:rPr>
            </w:pPr>
          </w:p>
        </w:tc>
      </w:tr>
      <w:tr w:rsidR="00014C98">
        <w:trPr>
          <w:trHeight w:val="250"/>
        </w:trPr>
        <w:tc>
          <w:tcPr>
            <w:tcW w:w="1008" w:type="dxa"/>
          </w:tcPr>
          <w:p w:rsidR="00014C98" w:rsidRDefault="00014C98">
            <w:pPr>
              <w:jc w:val="right"/>
              <w:rPr>
                <w:rFonts w:ascii="Arial" w:hAnsi="Arial"/>
                <w:snapToGrid w:val="0"/>
                <w:color w:val="000000"/>
              </w:rPr>
            </w:pPr>
          </w:p>
        </w:tc>
        <w:tc>
          <w:tcPr>
            <w:tcW w:w="1070" w:type="dxa"/>
          </w:tcPr>
          <w:p w:rsidR="00014C98" w:rsidRDefault="00014C98">
            <w:pPr>
              <w:jc w:val="center"/>
              <w:rPr>
                <w:rFonts w:ascii="Arial" w:hAnsi="Arial"/>
                <w:snapToGrid w:val="0"/>
                <w:color w:val="000000"/>
              </w:rPr>
            </w:pPr>
            <w:r>
              <w:rPr>
                <w:rFonts w:ascii="Arial" w:hAnsi="Arial"/>
                <w:snapToGrid w:val="0"/>
                <w:color w:val="000000"/>
              </w:rPr>
              <w:t>(e)</w:t>
            </w:r>
          </w:p>
        </w:tc>
        <w:tc>
          <w:tcPr>
            <w:tcW w:w="1071" w:type="dxa"/>
          </w:tcPr>
          <w:p w:rsidR="00014C98" w:rsidRDefault="00014C98">
            <w:pPr>
              <w:jc w:val="center"/>
              <w:rPr>
                <w:rFonts w:ascii="Arial" w:hAnsi="Arial"/>
                <w:snapToGrid w:val="0"/>
                <w:color w:val="000000"/>
              </w:rPr>
            </w:pPr>
            <w:r>
              <w:rPr>
                <w:rFonts w:ascii="Arial" w:hAnsi="Arial"/>
                <w:snapToGrid w:val="0"/>
                <w:color w:val="000000"/>
              </w:rPr>
              <w:t>Yes</w:t>
            </w:r>
          </w:p>
        </w:tc>
        <w:tc>
          <w:tcPr>
            <w:tcW w:w="960" w:type="dxa"/>
          </w:tcPr>
          <w:p w:rsidR="00014C98" w:rsidRDefault="00014C98">
            <w:pPr>
              <w:jc w:val="center"/>
              <w:rPr>
                <w:rFonts w:ascii="Arial" w:hAnsi="Arial"/>
                <w:snapToGrid w:val="0"/>
                <w:color w:val="000000"/>
              </w:rPr>
            </w:pPr>
            <w:r>
              <w:rPr>
                <w:rFonts w:ascii="Arial" w:hAnsi="Arial"/>
                <w:snapToGrid w:val="0"/>
                <w:color w:val="000000"/>
              </w:rPr>
              <w:t>Yes</w:t>
            </w:r>
          </w:p>
        </w:tc>
        <w:tc>
          <w:tcPr>
            <w:tcW w:w="1070" w:type="dxa"/>
          </w:tcPr>
          <w:p w:rsidR="00014C98" w:rsidRDefault="00014C98">
            <w:pPr>
              <w:jc w:val="center"/>
              <w:rPr>
                <w:rFonts w:ascii="Arial" w:hAnsi="Arial"/>
                <w:snapToGrid w:val="0"/>
                <w:color w:val="000000"/>
              </w:rPr>
            </w:pPr>
            <w:r>
              <w:rPr>
                <w:rFonts w:ascii="Arial" w:hAnsi="Arial"/>
                <w:snapToGrid w:val="0"/>
                <w:color w:val="000000"/>
              </w:rPr>
              <w:t>Yes</w:t>
            </w:r>
          </w:p>
        </w:tc>
        <w:tc>
          <w:tcPr>
            <w:tcW w:w="1008" w:type="dxa"/>
          </w:tcPr>
          <w:p w:rsidR="00014C98" w:rsidRDefault="00014C98">
            <w:pPr>
              <w:jc w:val="center"/>
              <w:rPr>
                <w:rFonts w:ascii="Arial" w:hAnsi="Arial"/>
                <w:snapToGrid w:val="0"/>
                <w:color w:val="000000"/>
              </w:rPr>
            </w:pPr>
          </w:p>
        </w:tc>
      </w:tr>
      <w:tr w:rsidR="00014C98">
        <w:trPr>
          <w:trHeight w:val="250"/>
        </w:trPr>
        <w:tc>
          <w:tcPr>
            <w:tcW w:w="1008" w:type="dxa"/>
          </w:tcPr>
          <w:p w:rsidR="00014C98" w:rsidRDefault="00014C98">
            <w:pPr>
              <w:jc w:val="right"/>
              <w:rPr>
                <w:rFonts w:ascii="Arial" w:hAnsi="Arial"/>
                <w:snapToGrid w:val="0"/>
                <w:color w:val="000000"/>
              </w:rPr>
            </w:pPr>
          </w:p>
        </w:tc>
        <w:tc>
          <w:tcPr>
            <w:tcW w:w="1070" w:type="dxa"/>
          </w:tcPr>
          <w:p w:rsidR="00014C98" w:rsidRDefault="00014C98">
            <w:pPr>
              <w:jc w:val="center"/>
              <w:rPr>
                <w:rFonts w:ascii="Arial" w:hAnsi="Arial"/>
                <w:snapToGrid w:val="0"/>
                <w:color w:val="000000"/>
              </w:rPr>
            </w:pPr>
          </w:p>
        </w:tc>
        <w:tc>
          <w:tcPr>
            <w:tcW w:w="1071" w:type="dxa"/>
          </w:tcPr>
          <w:p w:rsidR="00014C98" w:rsidRDefault="00014C98">
            <w:pPr>
              <w:jc w:val="center"/>
              <w:rPr>
                <w:rFonts w:ascii="Arial" w:hAnsi="Arial"/>
                <w:snapToGrid w:val="0"/>
                <w:color w:val="000000"/>
              </w:rPr>
            </w:pPr>
          </w:p>
        </w:tc>
        <w:tc>
          <w:tcPr>
            <w:tcW w:w="960" w:type="dxa"/>
          </w:tcPr>
          <w:p w:rsidR="00014C98" w:rsidRDefault="00014C98">
            <w:pPr>
              <w:jc w:val="center"/>
              <w:rPr>
                <w:rFonts w:ascii="Arial" w:hAnsi="Arial"/>
                <w:snapToGrid w:val="0"/>
                <w:color w:val="000000"/>
              </w:rPr>
            </w:pPr>
          </w:p>
        </w:tc>
        <w:tc>
          <w:tcPr>
            <w:tcW w:w="1070" w:type="dxa"/>
          </w:tcPr>
          <w:p w:rsidR="00014C98" w:rsidRDefault="00014C98">
            <w:pPr>
              <w:jc w:val="center"/>
              <w:rPr>
                <w:rFonts w:ascii="Arial" w:hAnsi="Arial"/>
                <w:snapToGrid w:val="0"/>
                <w:color w:val="000000"/>
              </w:rPr>
            </w:pPr>
          </w:p>
        </w:tc>
        <w:tc>
          <w:tcPr>
            <w:tcW w:w="1008" w:type="dxa"/>
          </w:tcPr>
          <w:p w:rsidR="00014C98" w:rsidRDefault="00014C98">
            <w:pPr>
              <w:jc w:val="center"/>
              <w:rPr>
                <w:rFonts w:ascii="Arial" w:hAnsi="Arial"/>
                <w:snapToGrid w:val="0"/>
                <w:color w:val="000000"/>
              </w:rPr>
            </w:pPr>
          </w:p>
        </w:tc>
      </w:tr>
    </w:tbl>
    <w:p w:rsidR="00014C98" w:rsidRDefault="009A18E4">
      <w:pPr>
        <w:pStyle w:val="BodyTextIndent"/>
        <w:tabs>
          <w:tab w:val="clear" w:pos="1620"/>
        </w:tabs>
      </w:pPr>
      <w:r>
        <w:t>12</w:t>
      </w:r>
      <w:r w:rsidR="00014C98">
        <w:t>.</w:t>
      </w:r>
      <w:r w:rsidR="00014C98">
        <w:tab/>
        <w:t xml:space="preserve">What are the main features of the </w:t>
      </w:r>
      <w:proofErr w:type="spellStart"/>
      <w:r w:rsidR="00014C98">
        <w:t>Riegle</w:t>
      </w:r>
      <w:proofErr w:type="spellEnd"/>
      <w:r w:rsidR="00014C98">
        <w:t>-Neal Interstate Banking and Bra</w:t>
      </w:r>
      <w:r w:rsidR="00514F6B">
        <w:t xml:space="preserve">nching Efficiency Act of 1994? </w:t>
      </w:r>
      <w:r w:rsidR="00014C98">
        <w:t xml:space="preserve">What major impact on commercial banking activity </w:t>
      </w:r>
      <w:r w:rsidR="00833DB3">
        <w:t>occurr</w:t>
      </w:r>
      <w:r w:rsidR="00014C98">
        <w:t>ed from this legislation?</w:t>
      </w:r>
    </w:p>
    <w:p w:rsidR="00014C98" w:rsidRDefault="00014C98">
      <w:pPr>
        <w:pStyle w:val="BodyTextIndent"/>
        <w:tabs>
          <w:tab w:val="clear" w:pos="1620"/>
        </w:tabs>
      </w:pPr>
    </w:p>
    <w:p w:rsidR="00014C98" w:rsidRDefault="00014C98">
      <w:pPr>
        <w:pStyle w:val="BodyTextIndent"/>
        <w:tabs>
          <w:tab w:val="clear" w:pos="1620"/>
        </w:tabs>
        <w:ind w:left="0" w:firstLine="0"/>
      </w:pPr>
      <w:r>
        <w:t xml:space="preserve">The main feature of the </w:t>
      </w:r>
      <w:proofErr w:type="spellStart"/>
      <w:r>
        <w:t>Riegle</w:t>
      </w:r>
      <w:proofErr w:type="spellEnd"/>
      <w:r>
        <w:t>-Neal Act of 1994 was the removal of ba</w:t>
      </w:r>
      <w:r w:rsidR="003824B5">
        <w:t>rriers to inter</w:t>
      </w:r>
      <w:r w:rsidR="00514F6B">
        <w:t xml:space="preserve">state banking. </w:t>
      </w:r>
      <w:r>
        <w:t xml:space="preserve">In September 1995 bank holding companies were allowed to </w:t>
      </w:r>
      <w:r w:rsidR="00514F6B">
        <w:t xml:space="preserve">acquire banks in other states. </w:t>
      </w:r>
      <w:r>
        <w:t xml:space="preserve">In 1997, banks were allowed to convert out-of-state subsidiaries into branches </w:t>
      </w:r>
      <w:r w:rsidR="00514F6B">
        <w:t xml:space="preserve">of a single interstate bank. </w:t>
      </w:r>
      <w:r>
        <w:t>As a result, consolidations and acquisitions have allowed for the emergence of very large banks with branches across the country.</w:t>
      </w:r>
    </w:p>
    <w:p w:rsidR="00014C98" w:rsidRDefault="00014C98">
      <w:pPr>
        <w:pStyle w:val="BodyTextIndent"/>
        <w:tabs>
          <w:tab w:val="clear" w:pos="1620"/>
        </w:tabs>
      </w:pPr>
    </w:p>
    <w:p w:rsidR="009A18E4" w:rsidRDefault="009A18E4" w:rsidP="009A18E4">
      <w:pPr>
        <w:pStyle w:val="BodyTextIndent"/>
        <w:tabs>
          <w:tab w:val="clear" w:pos="540"/>
          <w:tab w:val="clear" w:pos="1620"/>
          <w:tab w:val="right" w:pos="8640"/>
        </w:tabs>
      </w:pPr>
      <w:r>
        <w:t>1</w:t>
      </w:r>
      <w:r w:rsidR="00121DE8">
        <w:t>3</w:t>
      </w:r>
      <w:r>
        <w:t>.</w:t>
      </w:r>
      <w:r>
        <w:tab/>
        <w:t>What factors normally are given credit for the revitalization of the banking industry during the decade of the 1990s? How is Internet banking expected to provide benefits in the future?</w:t>
      </w:r>
    </w:p>
    <w:p w:rsidR="009A18E4" w:rsidRDefault="009A18E4" w:rsidP="009A18E4">
      <w:pPr>
        <w:tabs>
          <w:tab w:val="right" w:pos="8640"/>
        </w:tabs>
        <w:rPr>
          <w:sz w:val="24"/>
        </w:rPr>
      </w:pPr>
    </w:p>
    <w:p w:rsidR="009A18E4" w:rsidRDefault="009A18E4" w:rsidP="009A18E4">
      <w:pPr>
        <w:pStyle w:val="BodyText"/>
        <w:tabs>
          <w:tab w:val="left" w:pos="540"/>
          <w:tab w:val="right" w:pos="8640"/>
        </w:tabs>
      </w:pPr>
      <w:r>
        <w:t xml:space="preserve">The most prominent reason was the lengthy economic expansion in both the U.S. and many global economies during the entire decade of the 1990s. This expansion was assisted in the U.S. by low and falling interest rates during the entire period.  </w:t>
      </w:r>
    </w:p>
    <w:p w:rsidR="009A18E4" w:rsidRDefault="009A18E4" w:rsidP="009A18E4">
      <w:pPr>
        <w:pStyle w:val="BodyText"/>
        <w:tabs>
          <w:tab w:val="left" w:pos="540"/>
          <w:tab w:val="right" w:pos="8640"/>
        </w:tabs>
      </w:pPr>
    </w:p>
    <w:p w:rsidR="009A18E4" w:rsidRDefault="009A18E4" w:rsidP="009A18E4">
      <w:pPr>
        <w:pStyle w:val="BodyText"/>
        <w:tabs>
          <w:tab w:val="left" w:pos="540"/>
          <w:tab w:val="right" w:pos="8640"/>
        </w:tabs>
      </w:pPr>
      <w:r>
        <w:t xml:space="preserve">The extent of the impact of Internet banking remains unknown. However, the </w:t>
      </w:r>
      <w:proofErr w:type="gramStart"/>
      <w:r>
        <w:t>existence of this technology is allowing banks to open markets and develop</w:t>
      </w:r>
      <w:proofErr w:type="gramEnd"/>
      <w:r>
        <w:t xml:space="preserve"> products that did not exist prior to the Internet. Initial efforts focused on retail </w:t>
      </w:r>
      <w:proofErr w:type="gramStart"/>
      <w:r>
        <w:t>customers</w:t>
      </w:r>
      <w:proofErr w:type="gramEnd"/>
      <w:r>
        <w:t xml:space="preserve"> more than corporate customers. The trend should continue with the advent of faster, more customer friendly products and services, and the continued technology education of customers.</w:t>
      </w:r>
    </w:p>
    <w:p w:rsidR="008A1F5A" w:rsidRDefault="008A1F5A">
      <w:pPr>
        <w:rPr>
          <w:sz w:val="24"/>
        </w:rPr>
      </w:pPr>
      <w:r>
        <w:br w:type="page"/>
      </w:r>
    </w:p>
    <w:p w:rsidR="009A18E4" w:rsidRDefault="009A18E4" w:rsidP="009A18E4">
      <w:pPr>
        <w:pStyle w:val="BodyTextIndent"/>
        <w:tabs>
          <w:tab w:val="clear" w:pos="1620"/>
        </w:tabs>
      </w:pPr>
    </w:p>
    <w:p w:rsidR="009A18E4" w:rsidRDefault="009A18E4" w:rsidP="009A18E4">
      <w:pPr>
        <w:pStyle w:val="BodyTextIndent"/>
        <w:tabs>
          <w:tab w:val="clear" w:pos="1620"/>
        </w:tabs>
      </w:pPr>
      <w:r>
        <w:t>1</w:t>
      </w:r>
      <w:r w:rsidR="00121DE8">
        <w:t>4</w:t>
      </w:r>
      <w:r>
        <w:t>.</w:t>
      </w:r>
      <w:r>
        <w:tab/>
        <w:t>What factors are given credit for the strong performance of commercial banks in the early and mid-2000s?</w:t>
      </w:r>
    </w:p>
    <w:p w:rsidR="009A18E4" w:rsidRDefault="009A18E4" w:rsidP="009A18E4">
      <w:pPr>
        <w:pStyle w:val="BodyTextIndent"/>
        <w:tabs>
          <w:tab w:val="clear" w:pos="1620"/>
        </w:tabs>
      </w:pPr>
    </w:p>
    <w:p w:rsidR="009A18E4" w:rsidRDefault="009A18E4" w:rsidP="009A18E4">
      <w:pPr>
        <w:pStyle w:val="BodyTextIndent"/>
        <w:tabs>
          <w:tab w:val="clear" w:pos="1620"/>
        </w:tabs>
        <w:ind w:left="0" w:firstLine="0"/>
      </w:pPr>
      <w:r>
        <w:t xml:space="preserve">The lowest interest rates in many decades helped bank performance on both sides of the balance sheet. On the asset side, many consumers continued to refinance homes and purchase new homes, an activity that caused fee income from mortgage lending to increase and remain strong. Meanwhile, the rates banks paid on deposits shrunk to </w:t>
      </w:r>
      <w:proofErr w:type="spellStart"/>
      <w:r>
        <w:t>all</w:t>
      </w:r>
      <w:r w:rsidR="00833DB3">
        <w:t xml:space="preserve"> </w:t>
      </w:r>
      <w:r>
        <w:t>time</w:t>
      </w:r>
      <w:proofErr w:type="spellEnd"/>
      <w:r>
        <w:t xml:space="preserve"> lows. In addition, the development and more comfortable use of new financial instruments such as credit derivatives and mortgage</w:t>
      </w:r>
      <w:r w:rsidR="00E3510E">
        <w:t>-</w:t>
      </w:r>
      <w:r>
        <w:t>backed securities helped banks ease credit risk off the balance sheets. Finally, information technology has helped banks manage their risk more efficiently.</w:t>
      </w:r>
    </w:p>
    <w:p w:rsidR="009A18E4" w:rsidRDefault="009A18E4" w:rsidP="009A18E4">
      <w:pPr>
        <w:pStyle w:val="BodyTextIndent"/>
        <w:tabs>
          <w:tab w:val="clear" w:pos="1620"/>
        </w:tabs>
        <w:ind w:left="0" w:firstLine="0"/>
      </w:pPr>
    </w:p>
    <w:p w:rsidR="00FB1F60" w:rsidRPr="00C72185" w:rsidRDefault="009A18E4" w:rsidP="00FB1F60">
      <w:pPr>
        <w:pStyle w:val="BodyTextIndent"/>
        <w:tabs>
          <w:tab w:val="clear" w:pos="1620"/>
        </w:tabs>
        <w:rPr>
          <w:color w:val="FF0000"/>
        </w:rPr>
      </w:pPr>
      <w:r>
        <w:t>1</w:t>
      </w:r>
      <w:r w:rsidR="00121DE8">
        <w:t>5</w:t>
      </w:r>
      <w:r>
        <w:t>.</w:t>
      </w:r>
      <w:r w:rsidR="00FB1F60" w:rsidRPr="00FB1F60">
        <w:t xml:space="preserve"> </w:t>
      </w:r>
      <w:r w:rsidR="00FB1F60">
        <w:tab/>
        <w:t>What factors are given credit for the we</w:t>
      </w:r>
      <w:r w:rsidR="00E3510E">
        <w:t>a</w:t>
      </w:r>
      <w:r w:rsidR="00FB1F60">
        <w:t>k performance of commercial banks in the late 2000s?</w:t>
      </w:r>
      <w:r w:rsidR="00C72185">
        <w:t xml:space="preserve">  </w:t>
      </w:r>
    </w:p>
    <w:p w:rsidR="009A18E4" w:rsidRDefault="009A18E4" w:rsidP="009A18E4">
      <w:pPr>
        <w:pStyle w:val="BodyTextIndent"/>
        <w:tabs>
          <w:tab w:val="clear" w:pos="1620"/>
        </w:tabs>
        <w:ind w:left="0" w:firstLine="0"/>
      </w:pPr>
    </w:p>
    <w:p w:rsidR="00882181" w:rsidRDefault="00882181" w:rsidP="00882181">
      <w:pPr>
        <w:pStyle w:val="Default"/>
        <w:ind w:right="-270"/>
      </w:pPr>
      <w:r w:rsidRPr="00882181">
        <w:t xml:space="preserve">In the late 2000s, the U.S. economy experienced its strongest recession since the Great Depression. Commercial banks’ performance deteriorated along with the economy. </w:t>
      </w:r>
      <w:r w:rsidRPr="00882181">
        <w:rPr>
          <w:color w:val="231F20"/>
        </w:rPr>
        <w:t xml:space="preserve">Sharply higher loss provisions and a very rare decline in noninterest income were primarily responsible for the lower industry profits. Things got even worse in 2008. </w:t>
      </w:r>
      <w:r w:rsidRPr="00882181">
        <w:t>Net income for all of 2008 was $10.2 billion, a decline of $89.8 billion (89.8 percent) from 2007. The ROA for the year was 0.13 percent, the lowest since 1987. Almost one in four institutions (23.6 percent) was unprofitable in 2008, and almost two out of every three institutions (62.8 percent) reported lower full-year earnings than in 2007. Total noninterest income was $25.6 billion (11 percent), lower as a result of the industry’s first ever full-year trading loss ($1.8 billion), a $5.8 billion (27.4 percent) decline in securitization income, and a $6.6 billion drop in proceeds from sales of loans, foreclosed properties, and other assets. Net loan and lease charge-offs totaled $38.0 billion in the fourth quarter, an increase of $21.7 billion (132.7 percent) from the fourth quarter of 2007, the highest charge-off rate in the 25 years that institutions have reported quarterly net charge-offs. As the economy improved in the second half of 2009, so did commercial bank performance. While rising loan-loss provisions continued to dominate industry profitability, growth in operating revenues, combined with appreciation in securities values, helped the industry post an aggregate net profit. Noninterest income was $4.0 billion (6.8 percent) higher than 2008 due to net gains on loan sales (up $2.7 billion) and servicing fees (up $1.9 billion).</w:t>
      </w:r>
      <w:r w:rsidRPr="00882181">
        <w:rPr>
          <w:b/>
          <w:bCs/>
        </w:rPr>
        <w:t xml:space="preserve"> </w:t>
      </w:r>
      <w:r w:rsidRPr="00882181">
        <w:rPr>
          <w:bCs/>
        </w:rPr>
        <w:t xml:space="preserve">However, the industry was still feeling the effects of the long recession. </w:t>
      </w:r>
      <w:r w:rsidRPr="00882181">
        <w:t xml:space="preserve">Provisions for loan and lease losses totaled $62.5 billion, the fourth consecutive quarter that industry provisions had exceeded $60 billion. Net charge-offs continued to rise, for an 11th consecutive quarter. </w:t>
      </w:r>
    </w:p>
    <w:p w:rsidR="008A1F5A" w:rsidRDefault="008A1F5A">
      <w:pPr>
        <w:rPr>
          <w:color w:val="000000"/>
          <w:sz w:val="24"/>
          <w:szCs w:val="24"/>
        </w:rPr>
      </w:pPr>
      <w:r>
        <w:br w:type="page"/>
      </w:r>
    </w:p>
    <w:p w:rsidR="00882181" w:rsidRPr="00882181" w:rsidRDefault="00882181" w:rsidP="00882181">
      <w:pPr>
        <w:pStyle w:val="Default"/>
        <w:ind w:right="-270"/>
      </w:pPr>
    </w:p>
    <w:p w:rsidR="00014C98" w:rsidRDefault="00014C98">
      <w:pPr>
        <w:pStyle w:val="BodyTextIndent"/>
        <w:tabs>
          <w:tab w:val="clear" w:pos="1620"/>
        </w:tabs>
      </w:pPr>
      <w:r>
        <w:t>1</w:t>
      </w:r>
      <w:r w:rsidR="00121DE8">
        <w:t>6</w:t>
      </w:r>
      <w:r>
        <w:t>.</w:t>
      </w:r>
      <w:r>
        <w:tab/>
        <w:t xml:space="preserve">How do the asset and liability structures of a savings </w:t>
      </w:r>
      <w:r w:rsidR="003824B5">
        <w:t>institu</w:t>
      </w:r>
      <w:r>
        <w:t>tion compare with the asset and liability st</w:t>
      </w:r>
      <w:r w:rsidR="00514F6B">
        <w:t xml:space="preserve">ructures of a commercial bank? </w:t>
      </w:r>
      <w:r>
        <w:t>How do these structural differences affect the risks and operating perform</w:t>
      </w:r>
      <w:r w:rsidR="00514F6B">
        <w:t>ance of a savings</w:t>
      </w:r>
      <w:r w:rsidR="003824B5">
        <w:t xml:space="preserve"> institu</w:t>
      </w:r>
      <w:r w:rsidR="00514F6B">
        <w:t xml:space="preserve">tion? </w:t>
      </w:r>
      <w:r>
        <w:t>What is the QTL test?</w:t>
      </w:r>
    </w:p>
    <w:p w:rsidR="00014C98" w:rsidRDefault="00014C98">
      <w:pPr>
        <w:pStyle w:val="BodyTextIndent"/>
        <w:tabs>
          <w:tab w:val="clear" w:pos="1620"/>
        </w:tabs>
      </w:pPr>
    </w:p>
    <w:p w:rsidR="00014C98" w:rsidRDefault="003824B5">
      <w:pPr>
        <w:pStyle w:val="BodyTextIndent"/>
        <w:tabs>
          <w:tab w:val="clear" w:pos="540"/>
          <w:tab w:val="clear" w:pos="1620"/>
          <w:tab w:val="left" w:pos="0"/>
        </w:tabs>
        <w:ind w:left="0" w:firstLine="0"/>
      </w:pPr>
      <w:r>
        <w:t>The savings institut</w:t>
      </w:r>
      <w:r w:rsidR="00014C98">
        <w:t>ion industry relies on mortgage loans and mortgage-backed securities as the primary assets, while the commercial banking industry has a variety of loan products</w:t>
      </w:r>
      <w:r w:rsidR="00514F6B">
        <w:t xml:space="preserve">, including mortgage products. </w:t>
      </w:r>
      <w:r w:rsidR="00014C98">
        <w:t>The large amount of longer-term fixed rate assets continues to cause interest rate risk, while the lack of asset diversity exposes the savin</w:t>
      </w:r>
      <w:r w:rsidR="00514F6B">
        <w:t xml:space="preserve">gs </w:t>
      </w:r>
      <w:r>
        <w:t xml:space="preserve">institution </w:t>
      </w:r>
      <w:r w:rsidR="00514F6B">
        <w:t xml:space="preserve">to credit risk. </w:t>
      </w:r>
      <w:r w:rsidR="00014C98">
        <w:t xml:space="preserve">Savings </w:t>
      </w:r>
      <w:r>
        <w:t>institution</w:t>
      </w:r>
      <w:r w:rsidR="00E65F7C">
        <w:t>s</w:t>
      </w:r>
      <w:r>
        <w:t xml:space="preserve"> </w:t>
      </w:r>
      <w:r w:rsidR="00014C98">
        <w:t>hold less cash and U.S. Treasury secur</w:t>
      </w:r>
      <w:r w:rsidR="00514F6B">
        <w:t xml:space="preserve">ities than do commercial banks. </w:t>
      </w:r>
      <w:r w:rsidR="00014C98">
        <w:t xml:space="preserve">On the liability side, small time and saving deposits remain as the predominant source of funds for savings </w:t>
      </w:r>
      <w:r w:rsidR="00E65F7C">
        <w:t>institution</w:t>
      </w:r>
      <w:r w:rsidR="00014C98">
        <w:t>s, with s</w:t>
      </w:r>
      <w:r w:rsidR="00514F6B">
        <w:t>ome reliance on FHLB borrowing.</w:t>
      </w:r>
      <w:r w:rsidR="00014C98">
        <w:t xml:space="preserve"> The inability to nurture relationships with the capital markets also creates potential liquidity risk for the savings </w:t>
      </w:r>
      <w:r w:rsidR="00E65F7C">
        <w:t xml:space="preserve">institution </w:t>
      </w:r>
      <w:r w:rsidR="00014C98">
        <w:t>industry.</w:t>
      </w:r>
    </w:p>
    <w:p w:rsidR="00014C98" w:rsidRDefault="00014C98">
      <w:pPr>
        <w:pStyle w:val="BodyTextIndent"/>
        <w:tabs>
          <w:tab w:val="clear" w:pos="540"/>
          <w:tab w:val="clear" w:pos="1620"/>
          <w:tab w:val="left" w:pos="0"/>
        </w:tabs>
        <w:ind w:left="0" w:firstLine="0"/>
      </w:pPr>
    </w:p>
    <w:p w:rsidR="00014C98" w:rsidRDefault="00014C98">
      <w:pPr>
        <w:pStyle w:val="BodyTextIndent"/>
        <w:tabs>
          <w:tab w:val="clear" w:pos="540"/>
          <w:tab w:val="clear" w:pos="1620"/>
          <w:tab w:val="left" w:pos="0"/>
        </w:tabs>
        <w:ind w:left="0" w:firstLine="0"/>
      </w:pPr>
      <w:r>
        <w:t>The acronym QTL stand</w:t>
      </w:r>
      <w:r w:rsidR="00514F6B">
        <w:t xml:space="preserve">s for Qualified Thrift Lender. </w:t>
      </w:r>
      <w:r>
        <w:t xml:space="preserve">The QTL test refers to a minimum amount of mortgage-related assets that a </w:t>
      </w:r>
      <w:r w:rsidR="00514F6B">
        <w:t xml:space="preserve">savings </w:t>
      </w:r>
      <w:r w:rsidR="00E65F7C">
        <w:t xml:space="preserve">institution </w:t>
      </w:r>
      <w:r w:rsidR="00514F6B">
        <w:t>must hold</w:t>
      </w:r>
      <w:r w:rsidR="00E3510E">
        <w:t xml:space="preserve"> to maintain its charter as a savings institution</w:t>
      </w:r>
      <w:r w:rsidR="00514F6B">
        <w:t xml:space="preserve">. </w:t>
      </w:r>
      <w:r>
        <w:t>The amount currently is 65 percent of total assets.</w:t>
      </w:r>
    </w:p>
    <w:p w:rsidR="00014C98" w:rsidRDefault="00014C98">
      <w:pPr>
        <w:pStyle w:val="BodyTextIndent"/>
        <w:tabs>
          <w:tab w:val="clear" w:pos="1620"/>
        </w:tabs>
      </w:pPr>
    </w:p>
    <w:p w:rsidR="00014C98" w:rsidRDefault="00014C98">
      <w:pPr>
        <w:pStyle w:val="BodyTextIndent"/>
        <w:tabs>
          <w:tab w:val="clear" w:pos="1620"/>
        </w:tabs>
      </w:pPr>
      <w:r>
        <w:t>1</w:t>
      </w:r>
      <w:r w:rsidR="00121DE8">
        <w:t>7</w:t>
      </w:r>
      <w:r>
        <w:t>.</w:t>
      </w:r>
      <w:r>
        <w:tab/>
        <w:t>How do savings banks differ from savings associa</w:t>
      </w:r>
      <w:r w:rsidR="00514F6B">
        <w:t>tions?</w:t>
      </w:r>
      <w:r>
        <w:t xml:space="preserve"> Differentiate in terms of risk, operating performance, balance sheet structure, and regulatory responsibility.</w:t>
      </w:r>
    </w:p>
    <w:p w:rsidR="00014C98" w:rsidRDefault="00014C98">
      <w:pPr>
        <w:pStyle w:val="BodyTextIndent"/>
        <w:tabs>
          <w:tab w:val="clear" w:pos="1620"/>
        </w:tabs>
      </w:pPr>
    </w:p>
    <w:p w:rsidR="00014C98" w:rsidRDefault="00014C98">
      <w:pPr>
        <w:pStyle w:val="BodyTextIndent"/>
        <w:tabs>
          <w:tab w:val="clear" w:pos="540"/>
          <w:tab w:val="clear" w:pos="1620"/>
          <w:tab w:val="left" w:pos="0"/>
        </w:tabs>
        <w:ind w:left="0" w:firstLine="0"/>
      </w:pPr>
      <w:r>
        <w:t>The asset structure of savings banks is similar to the asset structure of savings associations with the exception that savings banks are allowed to diversify by holding a larger proportion o</w:t>
      </w:r>
      <w:r w:rsidR="00514F6B">
        <w:t xml:space="preserve">f corporate stocks and bonds. </w:t>
      </w:r>
      <w:r>
        <w:t xml:space="preserve">Savings banks rely more heavily on deposits and thus have a </w:t>
      </w:r>
      <w:r w:rsidR="00514F6B">
        <w:t xml:space="preserve">lower level of borrowed funds. </w:t>
      </w:r>
      <w:r w:rsidR="00E65F7C">
        <w:t>Both</w:t>
      </w:r>
      <w:r>
        <w:t xml:space="preserve"> are regulated at both the state and federal level, with deposits insured by the FDIC’s </w:t>
      </w:r>
      <w:r w:rsidR="00E65F7C">
        <w:t>D</w:t>
      </w:r>
      <w:r>
        <w:t xml:space="preserve">IF. </w:t>
      </w:r>
    </w:p>
    <w:p w:rsidR="00014C98" w:rsidRDefault="00014C98">
      <w:pPr>
        <w:pStyle w:val="BodyTextIndent"/>
        <w:tabs>
          <w:tab w:val="clear" w:pos="1620"/>
        </w:tabs>
      </w:pPr>
    </w:p>
    <w:p w:rsidR="003B08E0" w:rsidRDefault="003B08E0" w:rsidP="003B08E0">
      <w:pPr>
        <w:pStyle w:val="BodyTextIndent"/>
        <w:tabs>
          <w:tab w:val="clear" w:pos="1620"/>
        </w:tabs>
      </w:pPr>
      <w:r>
        <w:t>1</w:t>
      </w:r>
      <w:r w:rsidR="00121DE8">
        <w:t>8</w:t>
      </w:r>
      <w:r>
        <w:t>.</w:t>
      </w:r>
      <w:r>
        <w:tab/>
        <w:t>What happened in 1979 to cause the f</w:t>
      </w:r>
      <w:r w:rsidR="00882181">
        <w:t>ailure of many savings inst</w:t>
      </w:r>
      <w:r>
        <w:t>i</w:t>
      </w:r>
      <w:r w:rsidR="00882181">
        <w:t>tu</w:t>
      </w:r>
      <w:r>
        <w:t>tions during the early 1980s? What was the effect of this change on the operating statements of savings associations?</w:t>
      </w:r>
    </w:p>
    <w:p w:rsidR="003B08E0" w:rsidRDefault="003B08E0" w:rsidP="003B08E0">
      <w:pPr>
        <w:pStyle w:val="BodyTextIndent"/>
        <w:tabs>
          <w:tab w:val="clear" w:pos="1620"/>
        </w:tabs>
      </w:pPr>
    </w:p>
    <w:p w:rsidR="003B08E0" w:rsidRDefault="003B08E0" w:rsidP="003B08E0">
      <w:pPr>
        <w:pStyle w:val="BodyTextIndent"/>
        <w:tabs>
          <w:tab w:val="clear" w:pos="540"/>
          <w:tab w:val="clear" w:pos="1620"/>
          <w:tab w:val="left" w:pos="0"/>
        </w:tabs>
        <w:ind w:left="0" w:firstLine="0"/>
      </w:pPr>
      <w:r>
        <w:t>The Federal Reserve changed its reserve management policy to combat the effects of inflation, a change which caused the interest rates on short-term deposits to increase dramatically more than the rates on long-term mortgages. As a result,</w:t>
      </w:r>
      <w:r w:rsidR="00882181">
        <w:t xml:space="preserve"> for many savings institutions,</w:t>
      </w:r>
      <w:r>
        <w:t xml:space="preserve"> the marginal cost of funds exceeded the average yield on assets</w:t>
      </w:r>
      <w:r w:rsidR="00882181">
        <w:t>.</w:t>
      </w:r>
      <w:r>
        <w:t xml:space="preserve"> </w:t>
      </w:r>
      <w:r w:rsidR="00882181">
        <w:t>This</w:t>
      </w:r>
      <w:r>
        <w:t xml:space="preserve"> caused a negative interest spread for the savings </w:t>
      </w:r>
      <w:r w:rsidR="00882181">
        <w:t>inst</w:t>
      </w:r>
      <w:r>
        <w:t>i</w:t>
      </w:r>
      <w:r w:rsidR="00882181">
        <w:t>tu</w:t>
      </w:r>
      <w:r>
        <w:t xml:space="preserve">tions. Further, because savings </w:t>
      </w:r>
      <w:r w:rsidR="00882181">
        <w:t>in</w:t>
      </w:r>
      <w:r>
        <w:t>s</w:t>
      </w:r>
      <w:r w:rsidR="00882181">
        <w:t>t</w:t>
      </w:r>
      <w:r>
        <w:t>i</w:t>
      </w:r>
      <w:r w:rsidR="00882181">
        <w:t>tu</w:t>
      </w:r>
      <w:r>
        <w:t>tions were constrained by Regulation Q on the amount of interest which could be paid on deposits, they suffered disintermediation, or deposit withdrawals, which led to severe liquidity pressures on the balance sheets.</w:t>
      </w:r>
    </w:p>
    <w:p w:rsidR="00121DE8" w:rsidRDefault="00121DE8" w:rsidP="003B08E0">
      <w:pPr>
        <w:pStyle w:val="BodyTextIndent"/>
        <w:tabs>
          <w:tab w:val="clear" w:pos="540"/>
          <w:tab w:val="clear" w:pos="1620"/>
          <w:tab w:val="left" w:pos="0"/>
        </w:tabs>
        <w:ind w:left="0" w:firstLine="0"/>
      </w:pPr>
    </w:p>
    <w:p w:rsidR="00121DE8" w:rsidRDefault="00121DE8" w:rsidP="00121DE8">
      <w:pPr>
        <w:pStyle w:val="BodyTextIndent"/>
        <w:tabs>
          <w:tab w:val="clear" w:pos="1620"/>
        </w:tabs>
      </w:pPr>
      <w:proofErr w:type="gramStart"/>
      <w:r>
        <w:t>19.</w:t>
      </w:r>
      <w:r>
        <w:tab/>
        <w:t>How did the two</w:t>
      </w:r>
      <w:proofErr w:type="gramEnd"/>
      <w:r>
        <w:t xml:space="preserve"> pieces of regulatory </w:t>
      </w:r>
      <w:proofErr w:type="spellStart"/>
      <w:r>
        <w:t>legislation</w:t>
      </w:r>
      <w:r w:rsidR="005D1C7C">
        <w:t>─</w:t>
      </w:r>
      <w:r>
        <w:t>the</w:t>
      </w:r>
      <w:proofErr w:type="spellEnd"/>
      <w:r>
        <w:t xml:space="preserve"> DIDMCA in 1980 and the DIA in 1982</w:t>
      </w:r>
      <w:r w:rsidR="005D1C7C">
        <w:t>─</w:t>
      </w:r>
      <w:r>
        <w:t xml:space="preserve">change the operating profitability of savings </w:t>
      </w:r>
      <w:r w:rsidR="005D1C7C">
        <w:t>inst</w:t>
      </w:r>
      <w:r>
        <w:t>i</w:t>
      </w:r>
      <w:r w:rsidR="005D1C7C">
        <w:t>tu</w:t>
      </w:r>
      <w:r>
        <w:t xml:space="preserve">tions in the early 1980s? What impact did these pieces of legislation ultimately have on the risk posture of the savings </w:t>
      </w:r>
      <w:r w:rsidR="005D1C7C">
        <w:t>in</w:t>
      </w:r>
      <w:r>
        <w:t>s</w:t>
      </w:r>
      <w:r w:rsidR="005D1C7C">
        <w:t>t</w:t>
      </w:r>
      <w:r>
        <w:t>i</w:t>
      </w:r>
      <w:r w:rsidR="005D1C7C">
        <w:t>tu</w:t>
      </w:r>
      <w:r>
        <w:t>tion industry? How did the FSLIC react to this change in operating performance and risk?</w:t>
      </w:r>
    </w:p>
    <w:p w:rsidR="008A1F5A" w:rsidRDefault="008A1F5A">
      <w:pPr>
        <w:rPr>
          <w:sz w:val="24"/>
        </w:rPr>
      </w:pPr>
      <w:r>
        <w:br w:type="page"/>
      </w:r>
    </w:p>
    <w:p w:rsidR="00121DE8" w:rsidRDefault="00121DE8" w:rsidP="00121DE8">
      <w:pPr>
        <w:pStyle w:val="BodyTextIndent"/>
        <w:tabs>
          <w:tab w:val="clear" w:pos="1620"/>
        </w:tabs>
      </w:pPr>
    </w:p>
    <w:p w:rsidR="00121DE8" w:rsidRDefault="00121DE8" w:rsidP="00121DE8">
      <w:pPr>
        <w:pStyle w:val="BodyTextIndent"/>
        <w:tabs>
          <w:tab w:val="clear" w:pos="540"/>
          <w:tab w:val="clear" w:pos="1620"/>
          <w:tab w:val="left" w:pos="0"/>
        </w:tabs>
        <w:ind w:left="0" w:firstLine="0"/>
      </w:pPr>
      <w:r>
        <w:t xml:space="preserve">The two pieces of legislation allowed savings </w:t>
      </w:r>
      <w:r w:rsidR="005D1C7C">
        <w:t>in</w:t>
      </w:r>
      <w:r>
        <w:t>s</w:t>
      </w:r>
      <w:r w:rsidR="005D1C7C">
        <w:t>t</w:t>
      </w:r>
      <w:r>
        <w:t>i</w:t>
      </w:r>
      <w:r w:rsidR="005D1C7C">
        <w:t>tu</w:t>
      </w:r>
      <w:r>
        <w:t xml:space="preserve">tions to offer new deposit accounts, such as NOW accounts and money market deposit accounts, in an effort to reduce the net withdrawal flow of deposits from the institutions. In effect this action was an attempt to reduce the liquidity problem. In addition, savings </w:t>
      </w:r>
      <w:r w:rsidR="005D1C7C">
        <w:t xml:space="preserve">institutions </w:t>
      </w:r>
      <w:r>
        <w:t xml:space="preserve">were allowed to offer adjustable-rate mortgages and a limited amount of commercial and consumer loans in an attempt to improve the profitability performance of the industry. Although many savings </w:t>
      </w:r>
      <w:r w:rsidR="005D1C7C">
        <w:t xml:space="preserve">institutions </w:t>
      </w:r>
      <w:r>
        <w:t xml:space="preserve">were safer, more diversified, and more profitable, the FSLIC did not foreclose many of the savings </w:t>
      </w:r>
      <w:r w:rsidR="005D1C7C">
        <w:t xml:space="preserve">institutions </w:t>
      </w:r>
      <w:r>
        <w:t xml:space="preserve">which were insolvent. Nor did the FSLIC change its policy of assessing higher insurance premiums on companies that remained in high risk categories. Thus, many savings </w:t>
      </w:r>
      <w:r w:rsidR="005D1C7C">
        <w:t xml:space="preserve">institutions </w:t>
      </w:r>
      <w:r>
        <w:t>failed, which caused the FSLIC to eventually become insolvent.</w:t>
      </w:r>
    </w:p>
    <w:p w:rsidR="003B08E0" w:rsidRDefault="003B08E0">
      <w:pPr>
        <w:pStyle w:val="BodyTextIndent"/>
        <w:tabs>
          <w:tab w:val="clear" w:pos="1620"/>
        </w:tabs>
      </w:pPr>
    </w:p>
    <w:p w:rsidR="00014C98" w:rsidRDefault="003B08E0">
      <w:pPr>
        <w:pStyle w:val="BodyTextIndent"/>
        <w:tabs>
          <w:tab w:val="clear" w:pos="1620"/>
        </w:tabs>
      </w:pPr>
      <w:r>
        <w:t>20</w:t>
      </w:r>
      <w:r w:rsidR="00014C98">
        <w:t>.</w:t>
      </w:r>
      <w:r w:rsidR="00014C98">
        <w:tab/>
        <w:t>How did the Financial Institutions Reform, Recovery, and Enforcement Act (FIRREA) of 1989 and the Federal Deposit Insurance Corporation Improvement Act of 1991 reverse some of the key features of earlier legislation?</w:t>
      </w:r>
    </w:p>
    <w:p w:rsidR="00014C98" w:rsidRDefault="00014C98">
      <w:pPr>
        <w:pStyle w:val="BodyTextIndent"/>
        <w:tabs>
          <w:tab w:val="clear" w:pos="1620"/>
        </w:tabs>
      </w:pPr>
    </w:p>
    <w:p w:rsidR="00014C98" w:rsidRDefault="00014C98">
      <w:pPr>
        <w:pStyle w:val="BodyTextIndent"/>
        <w:tabs>
          <w:tab w:val="clear" w:pos="1620"/>
        </w:tabs>
        <w:ind w:left="0" w:firstLine="0"/>
      </w:pPr>
      <w:r>
        <w:t xml:space="preserve">FIRREA rescinded some of the expanded thrift lending powers of the DIDMCA of 1980 and the Garn-St </w:t>
      </w:r>
      <w:proofErr w:type="spellStart"/>
      <w:r>
        <w:t>Germain</w:t>
      </w:r>
      <w:proofErr w:type="spellEnd"/>
      <w:r>
        <w:t xml:space="preserve"> Act of 1982 by instituting the qualified thrift lender (QTL) test that requires that all thrifts must hold portfolios that are comprised primarily of mortgages or mortgage products such </w:t>
      </w:r>
      <w:r w:rsidR="00514F6B">
        <w:t xml:space="preserve">as mortgage-backed securities. </w:t>
      </w:r>
      <w:r w:rsidR="005D1C7C">
        <w:t>The A</w:t>
      </w:r>
      <w:r>
        <w:t>ct also required thrifts to divest their portfolios of junk bonds by 1994, and it replaced the FSLIC with a new thrift deposit insurance fund, the Savings Association Insurance Fund, which was managed by the FDIC.</w:t>
      </w:r>
    </w:p>
    <w:p w:rsidR="00014C98" w:rsidRDefault="00014C98">
      <w:pPr>
        <w:pStyle w:val="BodyTextIndent"/>
        <w:tabs>
          <w:tab w:val="clear" w:pos="1620"/>
        </w:tabs>
        <w:ind w:left="0" w:firstLine="0"/>
      </w:pPr>
    </w:p>
    <w:p w:rsidR="00014C98" w:rsidRDefault="00014C98">
      <w:pPr>
        <w:pStyle w:val="BodyTextIndent"/>
        <w:tabs>
          <w:tab w:val="clear" w:pos="1620"/>
        </w:tabs>
        <w:ind w:left="0" w:firstLine="0"/>
      </w:pPr>
      <w:r>
        <w:t>The FDICA of 1991 amended the DIDMCA of 1980 by introducing risk-based deposit insurance premiums in 199</w:t>
      </w:r>
      <w:r w:rsidR="00514F6B">
        <w:t>3 to reduce excess risk-taking.</w:t>
      </w:r>
      <w:r>
        <w:t xml:space="preserve"> FDICA also provided for the implementation of a policy of prompt corrective actions (PCA) that allows regulators to close banks more quickly in cases</w:t>
      </w:r>
      <w:r w:rsidR="00514F6B">
        <w:t xml:space="preserve"> where insolvency is imminent. </w:t>
      </w:r>
      <w:r>
        <w:t>Thus</w:t>
      </w:r>
      <w:r w:rsidR="00514F6B">
        <w:t>,</w:t>
      </w:r>
      <w:r>
        <w:t xml:space="preserve"> the ill-advised policy of regulatory</w:t>
      </w:r>
      <w:r w:rsidR="00514F6B">
        <w:t xml:space="preserve"> forbearance should be curbed. </w:t>
      </w:r>
      <w:r w:rsidR="005D1C7C">
        <w:t>Finally, the A</w:t>
      </w:r>
      <w:r>
        <w:t>ct amended the International Banking Act of 1978 by expanding the regulatory oversight powers over foreign banks.</w:t>
      </w:r>
    </w:p>
    <w:p w:rsidR="00014C98" w:rsidRDefault="00014C98">
      <w:pPr>
        <w:pStyle w:val="BodyTextIndent"/>
        <w:tabs>
          <w:tab w:val="clear" w:pos="1620"/>
        </w:tabs>
      </w:pPr>
    </w:p>
    <w:p w:rsidR="00014C98" w:rsidRDefault="00014C98">
      <w:pPr>
        <w:pStyle w:val="BodyTextIndent"/>
        <w:tabs>
          <w:tab w:val="clear" w:pos="1620"/>
        </w:tabs>
      </w:pPr>
      <w:r>
        <w:t>2</w:t>
      </w:r>
      <w:r w:rsidR="003B08E0">
        <w:t>1</w:t>
      </w:r>
      <w:r>
        <w:t>.</w:t>
      </w:r>
      <w:r>
        <w:tab/>
        <w:t xml:space="preserve">What is the “common bond” membership qualification under which credit unions </w:t>
      </w:r>
      <w:r w:rsidR="00514F6B">
        <w:t xml:space="preserve">have been formed and operated? </w:t>
      </w:r>
      <w:r>
        <w:t>How does this qualification affect the operational objective of a credit union?</w:t>
      </w:r>
    </w:p>
    <w:p w:rsidR="00014C98" w:rsidRDefault="00014C98">
      <w:pPr>
        <w:pStyle w:val="BodyTextIndent"/>
        <w:tabs>
          <w:tab w:val="clear" w:pos="1620"/>
        </w:tabs>
      </w:pPr>
    </w:p>
    <w:p w:rsidR="00014C98" w:rsidRDefault="00014C98" w:rsidP="005D1C7C">
      <w:pPr>
        <w:rPr>
          <w:sz w:val="24"/>
        </w:rPr>
      </w:pPr>
      <w:r>
        <w:rPr>
          <w:sz w:val="24"/>
        </w:rPr>
        <w:t>The common bond policy allows anyone who meets a specific membership requirement to become</w:t>
      </w:r>
      <w:r w:rsidR="00514F6B">
        <w:rPr>
          <w:sz w:val="24"/>
        </w:rPr>
        <w:t xml:space="preserve"> a member of the credit union. </w:t>
      </w:r>
      <w:r>
        <w:rPr>
          <w:sz w:val="24"/>
        </w:rPr>
        <w:t>The requirement normally is</w:t>
      </w:r>
      <w:r w:rsidR="00514F6B">
        <w:rPr>
          <w:sz w:val="24"/>
        </w:rPr>
        <w:t xml:space="preserve"> tied to a place of employment</w:t>
      </w:r>
      <w:r w:rsidR="005D1C7C">
        <w:rPr>
          <w:sz w:val="24"/>
        </w:rPr>
        <w:t xml:space="preserve"> or residence</w:t>
      </w:r>
      <w:r w:rsidR="00514F6B">
        <w:rPr>
          <w:sz w:val="24"/>
        </w:rPr>
        <w:t>.</w:t>
      </w:r>
      <w:r>
        <w:rPr>
          <w:sz w:val="24"/>
        </w:rPr>
        <w:t xml:space="preserve"> Because the common bond policy has been loosely interpreted, implementation has allowed credit union membership and assets to grow at a rate that exceeds similar growth in the </w:t>
      </w:r>
      <w:r w:rsidR="00514F6B">
        <w:rPr>
          <w:sz w:val="24"/>
        </w:rPr>
        <w:t xml:space="preserve">commercial banking industry. </w:t>
      </w:r>
      <w:r>
        <w:rPr>
          <w:sz w:val="24"/>
        </w:rPr>
        <w:t xml:space="preserve">Since credit unions are mutual organizations where the members are owners, employees essentially </w:t>
      </w:r>
      <w:proofErr w:type="gramStart"/>
      <w:r>
        <w:rPr>
          <w:sz w:val="24"/>
        </w:rPr>
        <w:t>use</w:t>
      </w:r>
      <w:proofErr w:type="gramEnd"/>
      <w:r>
        <w:rPr>
          <w:sz w:val="24"/>
        </w:rPr>
        <w:t xml:space="preserve"> saving deposits to make loans to other employees who need funds.  </w:t>
      </w:r>
    </w:p>
    <w:p w:rsidR="008A1F5A" w:rsidRDefault="008A1F5A">
      <w:r>
        <w:br w:type="page"/>
      </w:r>
    </w:p>
    <w:p w:rsidR="005D1C7C" w:rsidRDefault="005D1C7C" w:rsidP="005D1C7C"/>
    <w:p w:rsidR="00014C98" w:rsidRDefault="00014C98">
      <w:pPr>
        <w:pStyle w:val="BodyTextIndent"/>
        <w:tabs>
          <w:tab w:val="clear" w:pos="1620"/>
        </w:tabs>
      </w:pPr>
      <w:r>
        <w:t>2</w:t>
      </w:r>
      <w:r w:rsidR="003B08E0">
        <w:t>2</w:t>
      </w:r>
      <w:r>
        <w:t>.</w:t>
      </w:r>
      <w:r>
        <w:tab/>
        <w:t xml:space="preserve">What are the operating advantages of credit unions that have caused </w:t>
      </w:r>
      <w:r w:rsidR="00E65F7C">
        <w:t>concern among</w:t>
      </w:r>
      <w:r w:rsidR="00514F6B">
        <w:t xml:space="preserve"> commercial bankers? </w:t>
      </w:r>
      <w:r>
        <w:t>What has been the response of the Credit Union National Association to the bank</w:t>
      </w:r>
      <w:r w:rsidR="00E65F7C">
        <w:t>s’</w:t>
      </w:r>
      <w:r>
        <w:t xml:space="preserve"> criticisms?</w:t>
      </w:r>
    </w:p>
    <w:p w:rsidR="00014C98" w:rsidRDefault="00014C98">
      <w:pPr>
        <w:pStyle w:val="BodyTextIndent"/>
        <w:tabs>
          <w:tab w:val="clear" w:pos="1620"/>
        </w:tabs>
      </w:pPr>
    </w:p>
    <w:p w:rsidR="00014C98" w:rsidRDefault="00014C98">
      <w:pPr>
        <w:pStyle w:val="BodyText"/>
      </w:pPr>
      <w:r>
        <w:t xml:space="preserve">Credit unions are tax-exempt organizations that often are provided office </w:t>
      </w:r>
      <w:r w:rsidR="00514F6B">
        <w:t xml:space="preserve">space by employers at no cost. </w:t>
      </w:r>
      <w:r>
        <w:t>As a result, because noninterest operating costs are very low, credit unions can lend money at lower rates and pay higher rates on savings deposits than can commercial banks.  CUNA has responded</w:t>
      </w:r>
      <w:r w:rsidR="005D1C7C">
        <w:t xml:space="preserve"> saying</w:t>
      </w:r>
      <w:r>
        <w:t xml:space="preserve"> that the cost to tax payers from the tax-exempt status is replaced by the additional social good created by the benefits to the members.</w:t>
      </w:r>
    </w:p>
    <w:p w:rsidR="00014C98" w:rsidRDefault="00014C98">
      <w:pPr>
        <w:pStyle w:val="BodyTextIndent"/>
        <w:tabs>
          <w:tab w:val="clear" w:pos="1620"/>
        </w:tabs>
      </w:pPr>
    </w:p>
    <w:p w:rsidR="00014C98" w:rsidRDefault="00014C98">
      <w:pPr>
        <w:pStyle w:val="BodyTextIndent"/>
        <w:tabs>
          <w:tab w:val="clear" w:pos="1620"/>
        </w:tabs>
      </w:pPr>
      <w:r>
        <w:t>2</w:t>
      </w:r>
      <w:r w:rsidR="003B08E0">
        <w:t>3</w:t>
      </w:r>
      <w:r>
        <w:t>.</w:t>
      </w:r>
      <w:r>
        <w:tab/>
        <w:t xml:space="preserve">How does the asset structure of credit unions compare with the asset structure of commercial banks and savings </w:t>
      </w:r>
      <w:r w:rsidR="00E65F7C">
        <w:t>institution</w:t>
      </w:r>
      <w:r w:rsidR="00514F6B">
        <w:t>s?</w:t>
      </w:r>
      <w:r>
        <w:t xml:space="preserve"> Refer to Tables 2-</w:t>
      </w:r>
      <w:r w:rsidR="009B4A87">
        <w:t>6</w:t>
      </w:r>
      <w:r>
        <w:t>, 2-</w:t>
      </w:r>
      <w:r w:rsidR="009B4A87">
        <w:t>10</w:t>
      </w:r>
      <w:r>
        <w:t>, and 2-1</w:t>
      </w:r>
      <w:r w:rsidR="009B4A87">
        <w:t>3</w:t>
      </w:r>
      <w:r>
        <w:t xml:space="preserve"> to formulate your answer.</w:t>
      </w:r>
    </w:p>
    <w:p w:rsidR="00014C98" w:rsidRDefault="00014C98">
      <w:pPr>
        <w:pStyle w:val="BodyTextIndent"/>
        <w:tabs>
          <w:tab w:val="clear" w:pos="1620"/>
        </w:tabs>
        <w:rPr>
          <w:szCs w:val="24"/>
        </w:rPr>
      </w:pPr>
    </w:p>
    <w:p w:rsidR="00014C98" w:rsidRDefault="00014C98">
      <w:pPr>
        <w:rPr>
          <w:sz w:val="24"/>
          <w:szCs w:val="24"/>
        </w:rPr>
      </w:pPr>
      <w:r>
        <w:rPr>
          <w:sz w:val="24"/>
          <w:szCs w:val="24"/>
        </w:rPr>
        <w:t xml:space="preserve">The relative proportions of </w:t>
      </w:r>
      <w:r w:rsidR="009B4A87">
        <w:rPr>
          <w:sz w:val="24"/>
          <w:szCs w:val="24"/>
        </w:rPr>
        <w:t>all three types of depository institutions</w:t>
      </w:r>
      <w:r>
        <w:rPr>
          <w:sz w:val="24"/>
          <w:szCs w:val="24"/>
        </w:rPr>
        <w:t xml:space="preserve"> are similar, with </w:t>
      </w:r>
      <w:r w:rsidR="009B4A87">
        <w:rPr>
          <w:sz w:val="24"/>
          <w:szCs w:val="24"/>
        </w:rPr>
        <w:t>almost 30</w:t>
      </w:r>
      <w:r>
        <w:rPr>
          <w:sz w:val="24"/>
          <w:szCs w:val="24"/>
        </w:rPr>
        <w:t xml:space="preserve"> percent </w:t>
      </w:r>
      <w:r w:rsidR="009B4A87">
        <w:rPr>
          <w:sz w:val="24"/>
          <w:szCs w:val="24"/>
        </w:rPr>
        <w:t>of total assets held as</w:t>
      </w:r>
      <w:r>
        <w:rPr>
          <w:sz w:val="24"/>
          <w:szCs w:val="24"/>
        </w:rPr>
        <w:t xml:space="preserve"> investment securities and </w:t>
      </w:r>
      <w:r w:rsidR="009B4A87">
        <w:rPr>
          <w:sz w:val="24"/>
          <w:szCs w:val="24"/>
        </w:rPr>
        <w:t>over 50</w:t>
      </w:r>
      <w:r>
        <w:rPr>
          <w:sz w:val="24"/>
          <w:szCs w:val="24"/>
        </w:rPr>
        <w:t xml:space="preserve"> percent </w:t>
      </w:r>
      <w:r w:rsidR="009B4A87">
        <w:rPr>
          <w:sz w:val="24"/>
          <w:szCs w:val="24"/>
        </w:rPr>
        <w:t>as</w:t>
      </w:r>
      <w:r w:rsidR="00514F6B">
        <w:rPr>
          <w:sz w:val="24"/>
          <w:szCs w:val="24"/>
        </w:rPr>
        <w:t xml:space="preserve"> loans. </w:t>
      </w:r>
      <w:r w:rsidR="009B4A87">
        <w:rPr>
          <w:sz w:val="24"/>
          <w:szCs w:val="24"/>
        </w:rPr>
        <w:t xml:space="preserve">Savings institutions’ loans are predominantly mortgage related, </w:t>
      </w:r>
      <w:r>
        <w:rPr>
          <w:sz w:val="24"/>
          <w:szCs w:val="24"/>
        </w:rPr>
        <w:t>nonmortgage loans of credit unions ar</w:t>
      </w:r>
      <w:r w:rsidR="00514F6B">
        <w:rPr>
          <w:sz w:val="24"/>
          <w:szCs w:val="24"/>
        </w:rPr>
        <w:t>e predominantly consumer loans</w:t>
      </w:r>
      <w:r w:rsidR="009B4A87">
        <w:rPr>
          <w:sz w:val="24"/>
          <w:szCs w:val="24"/>
        </w:rPr>
        <w:t>, and commercial banks hold more business loans than either savings institutions or credit unions</w:t>
      </w:r>
      <w:r w:rsidR="00514F6B">
        <w:rPr>
          <w:sz w:val="24"/>
          <w:szCs w:val="24"/>
        </w:rPr>
        <w:t>.</w:t>
      </w:r>
      <w:r>
        <w:rPr>
          <w:sz w:val="24"/>
          <w:szCs w:val="24"/>
        </w:rPr>
        <w:t xml:space="preserve"> On the liability side of the balance sheet, credit unions differ from banks in that they have less reliance on large time deposits and they differ from </w:t>
      </w:r>
      <w:r w:rsidRPr="00E65F7C">
        <w:rPr>
          <w:sz w:val="24"/>
          <w:szCs w:val="24"/>
        </w:rPr>
        <w:t xml:space="preserve">savings </w:t>
      </w:r>
      <w:r w:rsidR="00E65F7C" w:rsidRPr="00E65F7C">
        <w:rPr>
          <w:sz w:val="24"/>
          <w:szCs w:val="24"/>
        </w:rPr>
        <w:t>institution</w:t>
      </w:r>
      <w:r w:rsidRPr="00E65F7C">
        <w:rPr>
          <w:sz w:val="24"/>
          <w:szCs w:val="24"/>
        </w:rPr>
        <w:t>s in that</w:t>
      </w:r>
      <w:r>
        <w:rPr>
          <w:sz w:val="24"/>
          <w:szCs w:val="24"/>
        </w:rPr>
        <w:t xml:space="preserve"> they have virtually </w:t>
      </w:r>
      <w:r w:rsidR="00514F6B">
        <w:rPr>
          <w:sz w:val="24"/>
          <w:szCs w:val="24"/>
        </w:rPr>
        <w:t xml:space="preserve">no borrowings from any source. </w:t>
      </w:r>
      <w:r>
        <w:rPr>
          <w:sz w:val="24"/>
          <w:szCs w:val="24"/>
        </w:rPr>
        <w:t>The primary sources of funds for credit unions are transaction and small time and savings accounts.</w:t>
      </w:r>
    </w:p>
    <w:p w:rsidR="00014C98" w:rsidRDefault="00014C98">
      <w:pPr>
        <w:rPr>
          <w:sz w:val="24"/>
          <w:szCs w:val="24"/>
        </w:rPr>
      </w:pPr>
    </w:p>
    <w:p w:rsidR="00014C98" w:rsidRDefault="00014C98">
      <w:pPr>
        <w:tabs>
          <w:tab w:val="left" w:pos="540"/>
        </w:tabs>
        <w:ind w:left="540" w:hanging="540"/>
        <w:rPr>
          <w:sz w:val="24"/>
          <w:szCs w:val="24"/>
        </w:rPr>
      </w:pPr>
      <w:r>
        <w:rPr>
          <w:sz w:val="24"/>
          <w:szCs w:val="24"/>
        </w:rPr>
        <w:t>2</w:t>
      </w:r>
      <w:r w:rsidR="003B08E0">
        <w:rPr>
          <w:sz w:val="24"/>
          <w:szCs w:val="24"/>
        </w:rPr>
        <w:t>4</w:t>
      </w:r>
      <w:r>
        <w:rPr>
          <w:sz w:val="24"/>
          <w:szCs w:val="24"/>
        </w:rPr>
        <w:t>.</w:t>
      </w:r>
      <w:r>
        <w:rPr>
          <w:sz w:val="24"/>
          <w:szCs w:val="24"/>
        </w:rPr>
        <w:tab/>
        <w:t xml:space="preserve">Compare and contrast the performance of the </w:t>
      </w:r>
      <w:r w:rsidR="00ED3CCB">
        <w:rPr>
          <w:sz w:val="24"/>
          <w:szCs w:val="24"/>
        </w:rPr>
        <w:t xml:space="preserve">worldwide </w:t>
      </w:r>
      <w:r>
        <w:rPr>
          <w:sz w:val="24"/>
          <w:szCs w:val="24"/>
        </w:rPr>
        <w:t>depository institution</w:t>
      </w:r>
      <w:r w:rsidR="00ED3CCB">
        <w:rPr>
          <w:sz w:val="24"/>
          <w:szCs w:val="24"/>
        </w:rPr>
        <w:t>s</w:t>
      </w:r>
      <w:r>
        <w:rPr>
          <w:sz w:val="24"/>
          <w:szCs w:val="24"/>
        </w:rPr>
        <w:t xml:space="preserve"> </w:t>
      </w:r>
      <w:r w:rsidR="00ED3CCB">
        <w:rPr>
          <w:sz w:val="24"/>
          <w:szCs w:val="24"/>
        </w:rPr>
        <w:t>with those of major foreign countries during the financial crisis</w:t>
      </w:r>
      <w:r>
        <w:rPr>
          <w:sz w:val="24"/>
          <w:szCs w:val="24"/>
        </w:rPr>
        <w:t>.</w:t>
      </w:r>
    </w:p>
    <w:p w:rsidR="00014C98" w:rsidRDefault="00014C98">
      <w:pPr>
        <w:tabs>
          <w:tab w:val="left" w:pos="540"/>
          <w:tab w:val="left" w:pos="1080"/>
          <w:tab w:val="right" w:pos="4320"/>
          <w:tab w:val="left" w:pos="5400"/>
          <w:tab w:val="right" w:pos="8640"/>
        </w:tabs>
        <w:rPr>
          <w:sz w:val="24"/>
          <w:szCs w:val="24"/>
        </w:rPr>
      </w:pPr>
    </w:p>
    <w:p w:rsidR="008A1F5A" w:rsidRDefault="00ED3CCB" w:rsidP="009B4A87">
      <w:pPr>
        <w:autoSpaceDE w:val="0"/>
        <w:autoSpaceDN w:val="0"/>
        <w:adjustRightInd w:val="0"/>
        <w:ind w:right="-270"/>
        <w:rPr>
          <w:color w:val="231F20"/>
          <w:sz w:val="24"/>
          <w:szCs w:val="24"/>
        </w:rPr>
      </w:pPr>
      <w:r w:rsidRPr="00ED3CCB">
        <w:rPr>
          <w:sz w:val="24"/>
          <w:szCs w:val="24"/>
        </w:rPr>
        <w:t xml:space="preserve">Quickly after it hit the U.S., the financial crisis spread worldwide. As the crisis started, banks worldwide saw </w:t>
      </w:r>
      <w:r w:rsidRPr="00ED3CCB">
        <w:rPr>
          <w:color w:val="231F20"/>
          <w:sz w:val="24"/>
          <w:szCs w:val="24"/>
        </w:rPr>
        <w:t>losses driven by their portfolios of structured finance products and securitized exposures to the subprime mortgage market. Losses were magnified by illiquidity in the markets for those instruments. As with U.S. banks, this led to substantial losses in their marked to market valuations. In Europe, the general picture of bank performance in 2008 was similar to that in the U.S. That is, net income fell sharply at all banks. The largest banks in the Netherlands, Switzerland and the United Kingdom had net losses for the year. Banks in Ireland, Spain and the United Kingdom were especially hard hit as they had large investments in mortgages and mortgage-backed securities. Because they focused on the domestic retail banking, French and Italian banks were less affected by losses on mortgage-backed securities. Continental European banks, in contrast to UK banks, partially cushioned losses through an increase in their net interest margins.</w:t>
      </w:r>
    </w:p>
    <w:p w:rsidR="008A1F5A" w:rsidRDefault="008A1F5A">
      <w:pPr>
        <w:rPr>
          <w:color w:val="231F20"/>
          <w:sz w:val="24"/>
          <w:szCs w:val="24"/>
        </w:rPr>
      </w:pPr>
      <w:r>
        <w:rPr>
          <w:color w:val="231F20"/>
          <w:sz w:val="24"/>
          <w:szCs w:val="24"/>
        </w:rPr>
        <w:br w:type="page"/>
      </w:r>
    </w:p>
    <w:p w:rsidR="00ED3CCB" w:rsidRPr="00ED3CCB" w:rsidRDefault="00ED3CCB" w:rsidP="009B4A87">
      <w:pPr>
        <w:autoSpaceDE w:val="0"/>
        <w:autoSpaceDN w:val="0"/>
        <w:adjustRightInd w:val="0"/>
        <w:ind w:right="-270"/>
        <w:rPr>
          <w:color w:val="231F20"/>
          <w:sz w:val="24"/>
          <w:szCs w:val="24"/>
        </w:rPr>
      </w:pPr>
    </w:p>
    <w:p w:rsidR="00ED3CCB" w:rsidRPr="00ED3CCB" w:rsidRDefault="00ED3CCB" w:rsidP="009B4A87">
      <w:pPr>
        <w:rPr>
          <w:sz w:val="24"/>
          <w:szCs w:val="24"/>
        </w:rPr>
      </w:pPr>
      <w:r w:rsidRPr="009B4A87">
        <w:rPr>
          <w:color w:val="231F20"/>
          <w:sz w:val="24"/>
          <w:szCs w:val="24"/>
        </w:rPr>
        <w:t>A number of European banks averted outright bankruptcy thanks to direct support from the central banks and national governments.</w:t>
      </w:r>
      <w:r w:rsidRPr="009B4A87">
        <w:rPr>
          <w:rFonts w:ascii="Univers" w:hAnsi="Univers" w:cs="Univers"/>
          <w:color w:val="231F20"/>
          <w:sz w:val="24"/>
          <w:szCs w:val="24"/>
        </w:rPr>
        <w:t xml:space="preserve"> </w:t>
      </w:r>
      <w:r w:rsidRPr="009B4A87">
        <w:rPr>
          <w:sz w:val="24"/>
          <w:szCs w:val="24"/>
        </w:rPr>
        <w:t xml:space="preserve">During the last week of September and first week of October 2008, the German government guaranteed all </w:t>
      </w:r>
      <w:proofErr w:type="gramStart"/>
      <w:r w:rsidRPr="009B4A87">
        <w:rPr>
          <w:sz w:val="24"/>
          <w:szCs w:val="24"/>
        </w:rPr>
        <w:t>consumer</w:t>
      </w:r>
      <w:proofErr w:type="gramEnd"/>
      <w:r w:rsidRPr="009B4A87">
        <w:rPr>
          <w:sz w:val="24"/>
          <w:szCs w:val="24"/>
        </w:rPr>
        <w:t xml:space="preserve"> bank deposits and arranged a bailout of Hypo Real Estate, the country’s second largest commercial property lender. The United Kingdom nationalized mortgage lender Bradford &amp; Bingley (the country’s eighth largest mortgage lender) and raised deposit guarantees from $62,220 to $88,890 per account. Ireland guaranteed deposits and debt of its six major financial institutions. Iceland rescued its third largest bank with </w:t>
      </w:r>
      <w:proofErr w:type="gramStart"/>
      <w:r w:rsidRPr="009B4A87">
        <w:rPr>
          <w:sz w:val="24"/>
          <w:szCs w:val="24"/>
        </w:rPr>
        <w:t>a</w:t>
      </w:r>
      <w:proofErr w:type="gramEnd"/>
      <w:r w:rsidRPr="009B4A87">
        <w:rPr>
          <w:sz w:val="24"/>
          <w:szCs w:val="24"/>
        </w:rPr>
        <w:t xml:space="preserve"> $860 million purchase of 75 percent of the banks stock and a few days later seized the country’s entire banking system. The Netherlands, Belgium, and Luxembourg central </w:t>
      </w:r>
      <w:bookmarkStart w:id="0" w:name="_GoBack"/>
      <w:bookmarkEnd w:id="0"/>
      <w:r w:rsidRPr="009B4A87">
        <w:rPr>
          <w:sz w:val="24"/>
          <w:szCs w:val="24"/>
        </w:rPr>
        <w:t xml:space="preserve">governments together agreed to inject $16.37 billion into Fortis NV (Europe’s first ever cross-border financial services company) to keep it afloat. </w:t>
      </w:r>
      <w:r w:rsidR="009B4A87" w:rsidRPr="009B4A87">
        <w:rPr>
          <w:sz w:val="24"/>
          <w:szCs w:val="24"/>
        </w:rPr>
        <w:t xml:space="preserve">However, five days later this deal fell apart, and the bank was split up. The Dutch bought all assets located in the Netherlands for approximately $23 billion. </w:t>
      </w:r>
      <w:r w:rsidRPr="00ED3CCB">
        <w:rPr>
          <w:sz w:val="24"/>
          <w:szCs w:val="24"/>
        </w:rPr>
        <w:t>The central bank in India stepped in to stop a run on the country’s second largest bank ICICI Bank, by promising to pump in cash. Central banks in Asia injected cash into their banking systems as banks’ reluctance to lend to each other led the Hong Kong Monetary Authority to inject liquidity into its banking system after rumors led to a run on Bank of East Asia Ltd. South Korean authorities offered loans and debt guarantees to help small and midsize businesses with short term funding. The United Kingdom, Belgium, Canada, Italy, and Ireland were just a few of the countries to pass an economic stimulus plan and/or bank bailout plan. The Bank of England lowered its target interest rate to a record low of 1 percent hoping to help the British economy out of a recession. The Bank of Canada, Bank of Japan, and Swiss National Bank also lowered their main interest rate to 1 percent or below. All of these actions were a result of the spread of the U.S. financial market crisis to world financial markets.</w:t>
      </w:r>
    </w:p>
    <w:p w:rsidR="00ED3CCB" w:rsidRPr="00ED3CCB" w:rsidRDefault="00ED3CCB" w:rsidP="00ED3CCB">
      <w:pPr>
        <w:autoSpaceDE w:val="0"/>
        <w:autoSpaceDN w:val="0"/>
        <w:adjustRightInd w:val="0"/>
        <w:ind w:right="-180" w:firstLine="720"/>
        <w:rPr>
          <w:color w:val="231F20"/>
          <w:sz w:val="24"/>
          <w:szCs w:val="24"/>
        </w:rPr>
      </w:pPr>
      <w:r w:rsidRPr="00ED3CCB">
        <w:rPr>
          <w:color w:val="231F20"/>
          <w:sz w:val="24"/>
          <w:szCs w:val="24"/>
        </w:rPr>
        <w:t xml:space="preserve">The worldwide economic slowdown experienced in the later stages of the crisis meant that bank losses became more closely connected to macroeconomic performance. </w:t>
      </w:r>
      <w:r w:rsidRPr="00ED3CCB">
        <w:rPr>
          <w:sz w:val="24"/>
          <w:szCs w:val="24"/>
        </w:rPr>
        <w:t>Countries across the world saw companies scrambling for credit and cutting their growth plans. Additionally, consumers worldwide reduced their spending. Even China’s booming economy slowed faster than had been predicted, from 10.1 percent in the second quarter of 2008 to 9 percent in the third quarter. This was the first time since 2002 that China’s growth was below 10 percent and dimmed hopes that Chinese demand could help keep world economies going. In late October, the global crisis hit the Persian Gulf as Kuwait’s central bank intervened to rescue Gulf Bank, the first bank rescue in the oil rich Gulf. Until this time, the area had been relatively immune to the world financial crisis. However, plummeting oil prices (which had dropped over 50 percent between July and October) left the area’s economies vulnerable.</w:t>
      </w:r>
      <w:r w:rsidRPr="00ED3CCB">
        <w:rPr>
          <w:color w:val="231F20"/>
          <w:sz w:val="24"/>
          <w:szCs w:val="24"/>
        </w:rPr>
        <w:t xml:space="preserve"> In this period, the majority of bank losses were more directly linked to a surge in borrower defaults and to anticipated defaults as evidenced by the increase in the amount and relative importance of loan loss provision expenses.</w:t>
      </w:r>
    </w:p>
    <w:p w:rsidR="008A1F5A" w:rsidRPr="008A1F5A" w:rsidRDefault="00ED3CCB" w:rsidP="008A1F5A">
      <w:pPr>
        <w:pStyle w:val="NoSpacing"/>
        <w:rPr>
          <w:rFonts w:ascii="Times New Roman" w:hAnsi="Times New Roman" w:cs="Times New Roman"/>
          <w:sz w:val="24"/>
          <w:szCs w:val="24"/>
        </w:rPr>
      </w:pPr>
      <w:r w:rsidRPr="009B4A87">
        <w:rPr>
          <w:rFonts w:ascii="Times New Roman" w:hAnsi="Times New Roman" w:cs="Times New Roman"/>
          <w:sz w:val="24"/>
          <w:szCs w:val="24"/>
        </w:rPr>
        <w:t xml:space="preserve">International banks’ balance sheets continued to shrink during the first half of 2009 (although at a much slower pace than in the preceding six months) and, as in the U.S., began to recover in the latter half of the year. In the fall of 2009, a steady stream of mostly positive macroeconomic news reassured investors that the global economy had turned around, but investor confidence remained fragile. For example, in late November 2009, security prices worldwide dropped sharply as investors reacted to news that government-owned Dubai World had asked for a delay in some payments on its debt. </w:t>
      </w:r>
      <w:r w:rsidR="009B4A87" w:rsidRPr="009B4A87">
        <w:rPr>
          <w:rFonts w:ascii="Times New Roman" w:hAnsi="Times New Roman" w:cs="Times New Roman"/>
          <w:sz w:val="24"/>
          <w:szCs w:val="24"/>
        </w:rPr>
        <w:t xml:space="preserve">Further, throughout the spring of 2010 Greece struggled with a severe debt crisis. Early on, some of the healthier European countries tried to step in and assist </w:t>
      </w:r>
    </w:p>
    <w:p w:rsidR="009B4A87" w:rsidRPr="009B4A87" w:rsidRDefault="009B4A87" w:rsidP="009B4A87">
      <w:pPr>
        <w:pStyle w:val="NoSpacing"/>
        <w:rPr>
          <w:rFonts w:ascii="Times New Roman" w:hAnsi="Times New Roman" w:cs="Times New Roman"/>
          <w:sz w:val="24"/>
          <w:szCs w:val="24"/>
          <w:lang w:val="en"/>
        </w:rPr>
      </w:pPr>
      <w:proofErr w:type="gramStart"/>
      <w:r w:rsidRPr="009B4A87">
        <w:rPr>
          <w:rFonts w:ascii="Times New Roman" w:hAnsi="Times New Roman" w:cs="Times New Roman"/>
          <w:sz w:val="24"/>
          <w:szCs w:val="24"/>
        </w:rPr>
        <w:lastRenderedPageBreak/>
        <w:t>the</w:t>
      </w:r>
      <w:proofErr w:type="gramEnd"/>
      <w:r w:rsidRPr="009B4A87">
        <w:rPr>
          <w:rFonts w:ascii="Times New Roman" w:hAnsi="Times New Roman" w:cs="Times New Roman"/>
          <w:sz w:val="24"/>
          <w:szCs w:val="24"/>
        </w:rPr>
        <w:t xml:space="preserve"> debt ridden country. Specifically, in March 2010 a plan led by Germany and France to bail out Greece with as much as $41 billion in aid began to take shape. However, in late April Greek bond prices dropped dramatically as traders began betting a debt default was inevitable, even if the country received a massive bailout. The selloff was the result of still more bad news for Greece, which showed that the 2009 budget deficit was worse than had been previously reported, and as a result politicians in Germany began to voice opposition to a Greek bailout. Further, Moody’s Investors Service downgraded Greece’s debt rating and warned that additional cuts could be on the way. </w:t>
      </w:r>
      <w:r w:rsidRPr="009B4A87">
        <w:rPr>
          <w:rFonts w:ascii="Times New Roman" w:hAnsi="Times New Roman" w:cs="Times New Roman"/>
          <w:sz w:val="24"/>
          <w:szCs w:val="24"/>
          <w:lang w:val="en-CA"/>
        </w:rPr>
        <w:t xml:space="preserve">Greece’s debt created heavy losses across the Greek banking sector. A run on </w:t>
      </w:r>
      <w:r w:rsidRPr="009B4A87">
        <w:rPr>
          <w:rFonts w:ascii="Times New Roman" w:hAnsi="Times New Roman" w:cs="Times New Roman"/>
          <w:sz w:val="24"/>
          <w:szCs w:val="24"/>
        </w:rPr>
        <w:t xml:space="preserve">Greek banks ensued. Initially, </w:t>
      </w:r>
      <w:r w:rsidRPr="009B4A87">
        <w:rPr>
          <w:rFonts w:ascii="Times New Roman" w:hAnsi="Times New Roman" w:cs="Times New Roman"/>
          <w:sz w:val="24"/>
          <w:szCs w:val="24"/>
          <w:lang w:val="en"/>
        </w:rPr>
        <w:t xml:space="preserve">between €100 and €500 million per day was being withdrawn from Greek banks. At its peak, the run on Greek banks produced deposit withdrawals of as high as €750 billion a day, nearly 0.5 percent of the entire €170 billion deposit base in the Greek banking system. </w:t>
      </w:r>
    </w:p>
    <w:p w:rsidR="009B4A87" w:rsidRPr="009B4A87" w:rsidRDefault="009B4A87" w:rsidP="009B4A87">
      <w:pPr>
        <w:pStyle w:val="NoSpacing"/>
        <w:rPr>
          <w:rFonts w:ascii="Times New Roman" w:hAnsi="Times New Roman" w:cs="Times New Roman"/>
          <w:sz w:val="24"/>
          <w:szCs w:val="24"/>
          <w:lang w:val="en-CA"/>
        </w:rPr>
      </w:pPr>
      <w:r w:rsidRPr="009B4A87">
        <w:rPr>
          <w:rFonts w:ascii="Times New Roman" w:hAnsi="Times New Roman" w:cs="Times New Roman"/>
          <w:sz w:val="24"/>
          <w:szCs w:val="24"/>
          <w:lang w:val="en"/>
        </w:rPr>
        <w:tab/>
      </w:r>
      <w:r w:rsidRPr="009B4A87">
        <w:rPr>
          <w:rFonts w:ascii="Times New Roman" w:hAnsi="Times New Roman" w:cs="Times New Roman"/>
          <w:sz w:val="24"/>
          <w:szCs w:val="24"/>
          <w:lang w:val="en-CA"/>
        </w:rPr>
        <w:t xml:space="preserve">Problems </w:t>
      </w:r>
      <w:r w:rsidRPr="009B4A87">
        <w:rPr>
          <w:rFonts w:ascii="Times New Roman" w:hAnsi="Times New Roman" w:cs="Times New Roman"/>
          <w:sz w:val="24"/>
          <w:szCs w:val="24"/>
        </w:rPr>
        <w:t xml:space="preserve">in the Greek banking system then spread to other European nations with fiscal problems, such as Portugal, Spain, and Italy. </w:t>
      </w:r>
      <w:r w:rsidRPr="009B4A87">
        <w:rPr>
          <w:rFonts w:ascii="Times New Roman" w:hAnsi="Times New Roman" w:cs="Times New Roman"/>
          <w:color w:val="000000"/>
          <w:sz w:val="24"/>
          <w:szCs w:val="24"/>
        </w:rPr>
        <w:t xml:space="preserve">The risk of a full blown banking crisis arose in Spain where the debt rating of 16 banks and four regions were downgraded by Moody’s Investor Service. </w:t>
      </w:r>
      <w:r w:rsidRPr="009B4A87">
        <w:rPr>
          <w:rFonts w:ascii="Times New Roman" w:hAnsi="Times New Roman" w:cs="Times New Roman"/>
          <w:sz w:val="24"/>
          <w:szCs w:val="24"/>
          <w:lang w:val="en-CA"/>
        </w:rPr>
        <w:t xml:space="preserve">Throughout Europe, some of the biggest banks announced billions of euros lost from write downs on Greek loans. In 2011, </w:t>
      </w:r>
      <w:proofErr w:type="spellStart"/>
      <w:r w:rsidRPr="009B4A87">
        <w:rPr>
          <w:rFonts w:ascii="Times New Roman" w:hAnsi="Times New Roman" w:cs="Times New Roman"/>
          <w:bCs/>
          <w:sz w:val="24"/>
          <w:szCs w:val="24"/>
          <w:lang w:val="en-CA"/>
        </w:rPr>
        <w:t>Crédit</w:t>
      </w:r>
      <w:proofErr w:type="spellEnd"/>
      <w:r w:rsidRPr="009B4A87">
        <w:rPr>
          <w:rFonts w:ascii="Times New Roman" w:hAnsi="Times New Roman" w:cs="Times New Roman"/>
          <w:bCs/>
          <w:sz w:val="24"/>
          <w:szCs w:val="24"/>
          <w:lang w:val="en-CA"/>
        </w:rPr>
        <w:t xml:space="preserve"> </w:t>
      </w:r>
      <w:proofErr w:type="spellStart"/>
      <w:r w:rsidRPr="009B4A87">
        <w:rPr>
          <w:rFonts w:ascii="Times New Roman" w:hAnsi="Times New Roman" w:cs="Times New Roman"/>
          <w:bCs/>
          <w:sz w:val="24"/>
          <w:szCs w:val="24"/>
          <w:lang w:val="en-CA"/>
        </w:rPr>
        <w:t>Agricole</w:t>
      </w:r>
      <w:proofErr w:type="spellEnd"/>
      <w:r w:rsidRPr="009B4A87">
        <w:rPr>
          <w:rFonts w:ascii="Times New Roman" w:hAnsi="Times New Roman" w:cs="Times New Roman"/>
          <w:sz w:val="24"/>
          <w:szCs w:val="24"/>
          <w:lang w:val="en-CA"/>
        </w:rPr>
        <w:t xml:space="preserve"> reported a record quarterly net loss of €3.07 billion ($4.06 billion U.S.) after a €220 million charge on its Greek debt. Great Britain’s </w:t>
      </w:r>
      <w:r w:rsidRPr="009B4A87">
        <w:rPr>
          <w:rFonts w:ascii="Times New Roman" w:hAnsi="Times New Roman" w:cs="Times New Roman"/>
          <w:bCs/>
          <w:sz w:val="24"/>
          <w:szCs w:val="24"/>
          <w:lang w:val="en-CA"/>
        </w:rPr>
        <w:t>Royal Bank of Scotland</w:t>
      </w:r>
      <w:r w:rsidRPr="009B4A87">
        <w:rPr>
          <w:rFonts w:ascii="Times New Roman" w:hAnsi="Times New Roman" w:cs="Times New Roman"/>
          <w:sz w:val="24"/>
          <w:szCs w:val="24"/>
          <w:lang w:val="en-CA"/>
        </w:rPr>
        <w:t xml:space="preserve"> revalued its Greek bonds at a 79 percent loss—or £1.1 billion ($1.7 billion U.S.)</w:t>
      </w:r>
      <w:proofErr w:type="gramStart"/>
      <w:r w:rsidRPr="009B4A87">
        <w:rPr>
          <w:rFonts w:ascii="Times New Roman" w:hAnsi="Times New Roman" w:cs="Times New Roman"/>
          <w:sz w:val="24"/>
          <w:szCs w:val="24"/>
          <w:lang w:val="en-CA"/>
        </w:rPr>
        <w:t>—for 2011.</w:t>
      </w:r>
      <w:proofErr w:type="gramEnd"/>
      <w:r w:rsidRPr="009B4A87">
        <w:rPr>
          <w:rFonts w:ascii="Times New Roman" w:hAnsi="Times New Roman" w:cs="Times New Roman"/>
          <w:sz w:val="24"/>
          <w:szCs w:val="24"/>
          <w:lang w:val="en-CA"/>
        </w:rPr>
        <w:t xml:space="preserve"> </w:t>
      </w:r>
      <w:proofErr w:type="gramStart"/>
      <w:r w:rsidRPr="009B4A87">
        <w:rPr>
          <w:rFonts w:ascii="Times New Roman" w:hAnsi="Times New Roman" w:cs="Times New Roman"/>
          <w:sz w:val="24"/>
          <w:szCs w:val="24"/>
          <w:lang w:val="en-CA"/>
        </w:rPr>
        <w:t>Germany’s Commerzbank’s fourth quarter 2011 earnings decreased by a €700 million due to losses on Greek sovereign debt.</w:t>
      </w:r>
      <w:proofErr w:type="gramEnd"/>
      <w:r w:rsidRPr="009B4A87">
        <w:rPr>
          <w:rFonts w:ascii="Times New Roman" w:hAnsi="Times New Roman" w:cs="Times New Roman"/>
          <w:sz w:val="24"/>
          <w:szCs w:val="24"/>
          <w:lang w:val="en-CA"/>
        </w:rPr>
        <w:t xml:space="preserve"> The bank needed to find €5.3 billion euros to meet the stricter new capital requirements set by Europe’s banking regulator. Bailed out Franco-Belgian bank </w:t>
      </w:r>
      <w:proofErr w:type="spellStart"/>
      <w:r w:rsidRPr="009B4A87">
        <w:rPr>
          <w:rFonts w:ascii="Times New Roman" w:hAnsi="Times New Roman" w:cs="Times New Roman"/>
          <w:bCs/>
          <w:sz w:val="24"/>
          <w:szCs w:val="24"/>
          <w:lang w:val="en-CA"/>
        </w:rPr>
        <w:t>Dexia</w:t>
      </w:r>
      <w:proofErr w:type="spellEnd"/>
      <w:r w:rsidRPr="009B4A87">
        <w:rPr>
          <w:rFonts w:ascii="Times New Roman" w:hAnsi="Times New Roman" w:cs="Times New Roman"/>
          <w:sz w:val="24"/>
          <w:szCs w:val="24"/>
          <w:lang w:val="en-CA"/>
        </w:rPr>
        <w:t xml:space="preserve"> warned it risked going out of business due to losses of €11.6 billion from its break-up and exposure to Greek debt and other toxic assets such as U.S. mortgage-backed securities. Even U.S. banks were affected by the European crisis. </w:t>
      </w:r>
      <w:r w:rsidRPr="009B4A87">
        <w:rPr>
          <w:rFonts w:ascii="Times New Roman" w:hAnsi="Times New Roman" w:cs="Times New Roman"/>
          <w:sz w:val="24"/>
          <w:szCs w:val="24"/>
        </w:rPr>
        <w:t>In late 2010, U.S. banks had sovereign risk exposure to Greece totaling $43.1 billion. In addition, exposures to Ireland totaled $113.9 billion, to Portugal totaled $47.1 billion, and to Spain $187.5 billion. Worldwide, bank exposure to these four countries totaled $2,512.3 billion. Default by small country like Greece cascaded into something that threatened the world’s financial system.</w:t>
      </w:r>
    </w:p>
    <w:p w:rsidR="008A1F5A" w:rsidRDefault="009B4A87" w:rsidP="009B4A87">
      <w:pPr>
        <w:pStyle w:val="NoSpacing"/>
        <w:rPr>
          <w:rFonts w:ascii="Times New Roman" w:hAnsi="Times New Roman" w:cs="Times New Roman"/>
          <w:sz w:val="24"/>
          <w:szCs w:val="24"/>
        </w:rPr>
      </w:pPr>
      <w:r w:rsidRPr="009B4A87">
        <w:rPr>
          <w:rFonts w:ascii="Times New Roman" w:hAnsi="Times New Roman" w:cs="Times New Roman"/>
          <w:sz w:val="24"/>
          <w:szCs w:val="24"/>
        </w:rPr>
        <w:tab/>
        <w:t xml:space="preserve">Worried about the affect a Greek debt crisis might have on the European Union, other European countries tried to step in and assist Greece. </w:t>
      </w:r>
      <w:proofErr w:type="spellStart"/>
      <w:r w:rsidRPr="009B4A87">
        <w:rPr>
          <w:rFonts w:ascii="Times New Roman" w:hAnsi="Times New Roman" w:cs="Times New Roman"/>
          <w:sz w:val="24"/>
          <w:szCs w:val="24"/>
        </w:rPr>
        <w:t>O</w:t>
      </w:r>
      <w:r w:rsidRPr="009B4A87">
        <w:rPr>
          <w:rFonts w:ascii="Times New Roman" w:hAnsi="Times New Roman" w:cs="Times New Roman"/>
          <w:sz w:val="24"/>
          <w:szCs w:val="24"/>
          <w:lang w:val="en"/>
        </w:rPr>
        <w:t>n</w:t>
      </w:r>
      <w:proofErr w:type="spellEnd"/>
      <w:r w:rsidRPr="009B4A87">
        <w:rPr>
          <w:rFonts w:ascii="Times New Roman" w:hAnsi="Times New Roman" w:cs="Times New Roman"/>
          <w:sz w:val="24"/>
          <w:szCs w:val="24"/>
          <w:lang w:val="en"/>
        </w:rPr>
        <w:t xml:space="preserve"> May 9, 2010, </w:t>
      </w:r>
      <w:r w:rsidRPr="009B4A87">
        <w:rPr>
          <w:rFonts w:ascii="Times New Roman" w:hAnsi="Times New Roman" w:cs="Times New Roman"/>
          <w:sz w:val="24"/>
          <w:szCs w:val="24"/>
        </w:rPr>
        <w:t>in return for huge budget cuts,</w:t>
      </w:r>
      <w:r w:rsidRPr="009B4A87">
        <w:rPr>
          <w:rFonts w:ascii="Times New Roman" w:hAnsi="Times New Roman" w:cs="Times New Roman"/>
          <w:sz w:val="24"/>
          <w:szCs w:val="24"/>
          <w:lang w:val="en"/>
        </w:rPr>
        <w:t xml:space="preserve"> Europe's finance ministers and the International Monetary Fund approved a rescue package worth $147 billion and a “safety net” of $1 trillion aimed at ensuring financial stability across Europe. Through the rest of 2010 and into 2012, Eurozone leaders agreed on more measures designed to prevent the collapse of Greece and other member economies. In return, Greece continued to offer additional austerity reforms and agreed to reduce its budget deficits. At times, the extent of these reforms and budget cuts led to worker strikes and protests (some of which turned violent), as well as changes in Greek political leadership. In December 2011, </w:t>
      </w:r>
      <w:r w:rsidRPr="009B4A87">
        <w:rPr>
          <w:rFonts w:ascii="Times New Roman" w:hAnsi="Times New Roman" w:cs="Times New Roman"/>
          <w:sz w:val="24"/>
          <w:szCs w:val="24"/>
        </w:rPr>
        <w:t xml:space="preserve">the leaders of France and Germany agreed on a new fiscal pact that they said would help prevent another debt crisis. Then French President Nicolas Sarkozy outlined the basic elements of the plan to increase budget discipline after meeting with German Chancellor Angela Merkel in Paris. </w:t>
      </w:r>
      <w:proofErr w:type="gramStart"/>
      <w:r w:rsidRPr="009B4A87">
        <w:rPr>
          <w:rFonts w:ascii="Times New Roman" w:hAnsi="Times New Roman" w:cs="Times New Roman"/>
          <w:sz w:val="24"/>
          <w:szCs w:val="24"/>
        </w:rPr>
        <w:t>The pact, which involved amending or rewriting the treaties that govern the European Union, was presented in detail at a meeting of European leaders and approved.</w:t>
      </w:r>
      <w:proofErr w:type="gramEnd"/>
      <w:r w:rsidRPr="009B4A87">
        <w:rPr>
          <w:rFonts w:ascii="Times New Roman" w:hAnsi="Times New Roman" w:cs="Times New Roman"/>
          <w:sz w:val="24"/>
          <w:szCs w:val="24"/>
        </w:rPr>
        <w:t xml:space="preserve"> Efforts by the EU and reforms enacted by the Greek and other European country governments appear to have worked. As on December 18, 2012, Standard &amp; Poor's raised its rating on Greek debt by six notches to B </w:t>
      </w:r>
    </w:p>
    <w:p w:rsidR="008A1F5A" w:rsidRDefault="008A1F5A">
      <w:pPr>
        <w:rPr>
          <w:rFonts w:eastAsiaTheme="minorHAnsi"/>
          <w:sz w:val="24"/>
          <w:szCs w:val="24"/>
        </w:rPr>
      </w:pPr>
      <w:r>
        <w:rPr>
          <w:sz w:val="24"/>
          <w:szCs w:val="24"/>
        </w:rPr>
        <w:br w:type="page"/>
      </w:r>
    </w:p>
    <w:p w:rsidR="00014C98" w:rsidRDefault="009B4A87" w:rsidP="009B4A87">
      <w:pPr>
        <w:pStyle w:val="NoSpacing"/>
        <w:rPr>
          <w:rFonts w:ascii="Times New Roman" w:hAnsi="Times New Roman" w:cs="Times New Roman"/>
          <w:sz w:val="24"/>
          <w:szCs w:val="24"/>
        </w:rPr>
      </w:pPr>
      <w:proofErr w:type="gramStart"/>
      <w:r w:rsidRPr="009B4A87">
        <w:rPr>
          <w:rFonts w:ascii="Times New Roman" w:hAnsi="Times New Roman" w:cs="Times New Roman"/>
          <w:sz w:val="24"/>
          <w:szCs w:val="24"/>
        </w:rPr>
        <w:lastRenderedPageBreak/>
        <w:t>minus</w:t>
      </w:r>
      <w:proofErr w:type="gramEnd"/>
      <w:r w:rsidRPr="009B4A87">
        <w:rPr>
          <w:rFonts w:ascii="Times New Roman" w:hAnsi="Times New Roman" w:cs="Times New Roman"/>
          <w:sz w:val="24"/>
          <w:szCs w:val="24"/>
        </w:rPr>
        <w:t xml:space="preserve"> from selective default Tuesday. S&amp;P cited a strong and clear commitment from members of the euro zone to keep Greece in the common currency bloc as the main reason for the upgrade.</w:t>
      </w:r>
    </w:p>
    <w:p w:rsidR="00694615" w:rsidRPr="00694615" w:rsidRDefault="00694615" w:rsidP="009B4A87">
      <w:pPr>
        <w:pStyle w:val="NoSpacing"/>
        <w:rPr>
          <w:rFonts w:ascii="Times New Roman" w:hAnsi="Times New Roman" w:cs="Times New Roman"/>
          <w:sz w:val="24"/>
          <w:szCs w:val="24"/>
        </w:rPr>
      </w:pPr>
    </w:p>
    <w:p w:rsidR="00694615" w:rsidRDefault="00694615" w:rsidP="00694615">
      <w:pPr>
        <w:rPr>
          <w:sz w:val="24"/>
          <w:szCs w:val="24"/>
        </w:rPr>
      </w:pPr>
      <w:r w:rsidRPr="00694615">
        <w:rPr>
          <w:sz w:val="24"/>
          <w:szCs w:val="24"/>
        </w:rPr>
        <w:t xml:space="preserve">The questions and problems that follow refer </w:t>
      </w:r>
      <w:r>
        <w:rPr>
          <w:sz w:val="24"/>
          <w:szCs w:val="24"/>
        </w:rPr>
        <w:t>to Appendix 2B</w:t>
      </w:r>
      <w:r w:rsidRPr="00694615">
        <w:rPr>
          <w:sz w:val="24"/>
          <w:szCs w:val="24"/>
        </w:rPr>
        <w:t>.</w:t>
      </w:r>
    </w:p>
    <w:p w:rsidR="00694615" w:rsidRPr="00581E66" w:rsidRDefault="00694615" w:rsidP="00694615">
      <w:pPr>
        <w:rPr>
          <w:sz w:val="24"/>
          <w:szCs w:val="24"/>
        </w:rPr>
      </w:pPr>
    </w:p>
    <w:p w:rsidR="00581E66" w:rsidRPr="00581E66" w:rsidRDefault="00694615" w:rsidP="009707D8">
      <w:pPr>
        <w:ind w:left="540" w:hanging="540"/>
        <w:jc w:val="both"/>
        <w:rPr>
          <w:sz w:val="24"/>
          <w:szCs w:val="24"/>
        </w:rPr>
      </w:pPr>
      <w:r w:rsidRPr="00581E66">
        <w:rPr>
          <w:sz w:val="24"/>
          <w:szCs w:val="24"/>
        </w:rPr>
        <w:t>25.</w:t>
      </w:r>
      <w:r w:rsidR="00581E66" w:rsidRPr="00581E66">
        <w:rPr>
          <w:sz w:val="24"/>
          <w:szCs w:val="24"/>
        </w:rPr>
        <w:t xml:space="preserve"> </w:t>
      </w:r>
      <w:r w:rsidR="009707D8">
        <w:rPr>
          <w:sz w:val="24"/>
          <w:szCs w:val="24"/>
        </w:rPr>
        <w:tab/>
      </w:r>
      <w:r w:rsidR="00581E66" w:rsidRPr="00581E66">
        <w:rPr>
          <w:sz w:val="24"/>
          <w:szCs w:val="24"/>
        </w:rPr>
        <w:t>The financial statements for First National Bank (FNB) are shown below:</w:t>
      </w:r>
    </w:p>
    <w:p w:rsidR="00581E66" w:rsidRPr="00581E66" w:rsidRDefault="00581E66" w:rsidP="00581E66">
      <w:pPr>
        <w:jc w:val="both"/>
        <w:rPr>
          <w:sz w:val="24"/>
          <w:szCs w:val="24"/>
        </w:rPr>
      </w:pPr>
    </w:p>
    <w:p w:rsidR="00581E66" w:rsidRPr="00581E66" w:rsidRDefault="00581E66" w:rsidP="00581E66">
      <w:pPr>
        <w:jc w:val="center"/>
        <w:rPr>
          <w:sz w:val="24"/>
          <w:szCs w:val="24"/>
        </w:rPr>
      </w:pPr>
      <w:r w:rsidRPr="00581E66">
        <w:rPr>
          <w:sz w:val="24"/>
          <w:szCs w:val="24"/>
        </w:rPr>
        <w:t>Balance Sheet - First National Bank</w:t>
      </w:r>
    </w:p>
    <w:p w:rsidR="00581E66" w:rsidRPr="00581E66" w:rsidRDefault="00581E66" w:rsidP="00581E66">
      <w:pPr>
        <w:tabs>
          <w:tab w:val="left" w:pos="720"/>
          <w:tab w:val="left" w:pos="3600"/>
          <w:tab w:val="left" w:pos="5760"/>
        </w:tabs>
        <w:jc w:val="both"/>
        <w:rPr>
          <w:sz w:val="24"/>
          <w:szCs w:val="24"/>
        </w:rPr>
      </w:pPr>
    </w:p>
    <w:p w:rsidR="00581E66" w:rsidRPr="00581E66" w:rsidRDefault="00581E66" w:rsidP="00581E66">
      <w:pPr>
        <w:tabs>
          <w:tab w:val="left" w:pos="720"/>
          <w:tab w:val="left" w:pos="3600"/>
          <w:tab w:val="left" w:pos="3780"/>
          <w:tab w:val="left" w:pos="3960"/>
          <w:tab w:val="left" w:pos="5760"/>
          <w:tab w:val="left" w:pos="8550"/>
          <w:tab w:val="left" w:pos="8730"/>
          <w:tab w:val="left" w:pos="8910"/>
        </w:tabs>
        <w:jc w:val="both"/>
        <w:rPr>
          <w:sz w:val="24"/>
          <w:szCs w:val="24"/>
        </w:rPr>
      </w:pPr>
      <w:r w:rsidRPr="00581E66">
        <w:rPr>
          <w:sz w:val="24"/>
          <w:szCs w:val="24"/>
        </w:rPr>
        <w:tab/>
      </w:r>
      <w:r w:rsidRPr="00581E66">
        <w:rPr>
          <w:sz w:val="24"/>
          <w:szCs w:val="24"/>
          <w:u w:val="single"/>
        </w:rPr>
        <w:t>Assets</w:t>
      </w:r>
      <w:r w:rsidRPr="00581E66">
        <w:rPr>
          <w:sz w:val="24"/>
          <w:szCs w:val="24"/>
        </w:rPr>
        <w:tab/>
      </w:r>
      <w:r w:rsidRPr="00581E66">
        <w:rPr>
          <w:sz w:val="24"/>
          <w:szCs w:val="24"/>
        </w:rPr>
        <w:tab/>
      </w:r>
      <w:r w:rsidRPr="00581E66">
        <w:rPr>
          <w:sz w:val="24"/>
          <w:szCs w:val="24"/>
        </w:rPr>
        <w:tab/>
      </w:r>
      <w:r w:rsidRPr="00581E66">
        <w:rPr>
          <w:sz w:val="24"/>
          <w:szCs w:val="24"/>
        </w:rPr>
        <w:tab/>
      </w:r>
      <w:r w:rsidRPr="00581E66">
        <w:rPr>
          <w:sz w:val="24"/>
          <w:szCs w:val="24"/>
          <w:u w:val="single"/>
        </w:rPr>
        <w:t>Liabilities and Equity</w:t>
      </w:r>
    </w:p>
    <w:p w:rsidR="00581E66" w:rsidRPr="00581E66" w:rsidRDefault="00581E66" w:rsidP="00581E66">
      <w:pPr>
        <w:tabs>
          <w:tab w:val="left" w:pos="720"/>
          <w:tab w:val="left" w:pos="3600"/>
          <w:tab w:val="left" w:pos="3780"/>
          <w:tab w:val="left" w:pos="3960"/>
          <w:tab w:val="left" w:pos="5760"/>
          <w:tab w:val="left" w:pos="8550"/>
          <w:tab w:val="left" w:pos="8730"/>
          <w:tab w:val="left" w:pos="8910"/>
        </w:tabs>
        <w:jc w:val="both"/>
        <w:rPr>
          <w:sz w:val="24"/>
          <w:szCs w:val="24"/>
        </w:rPr>
      </w:pPr>
      <w:r w:rsidRPr="00581E66">
        <w:rPr>
          <w:sz w:val="24"/>
          <w:szCs w:val="24"/>
        </w:rPr>
        <w:tab/>
        <w:t>Cash</w:t>
      </w:r>
      <w:r w:rsidRPr="00581E66">
        <w:rPr>
          <w:sz w:val="24"/>
          <w:szCs w:val="24"/>
        </w:rPr>
        <w:tab/>
      </w:r>
      <w:r>
        <w:rPr>
          <w:sz w:val="24"/>
          <w:szCs w:val="24"/>
        </w:rPr>
        <w:t xml:space="preserve">      </w:t>
      </w:r>
      <w:r w:rsidRPr="00581E66">
        <w:rPr>
          <w:sz w:val="24"/>
          <w:szCs w:val="24"/>
        </w:rPr>
        <w:t>$</w:t>
      </w:r>
      <w:r>
        <w:rPr>
          <w:sz w:val="24"/>
          <w:szCs w:val="24"/>
        </w:rPr>
        <w:t xml:space="preserve">  </w:t>
      </w:r>
      <w:r w:rsidRPr="00581E66">
        <w:rPr>
          <w:sz w:val="24"/>
          <w:szCs w:val="24"/>
        </w:rPr>
        <w:t xml:space="preserve">  450</w:t>
      </w:r>
      <w:r w:rsidRPr="00581E66">
        <w:rPr>
          <w:sz w:val="24"/>
          <w:szCs w:val="24"/>
        </w:rPr>
        <w:tab/>
        <w:t>Demand deposits</w:t>
      </w:r>
      <w:r w:rsidRPr="00581E66">
        <w:rPr>
          <w:sz w:val="24"/>
          <w:szCs w:val="24"/>
        </w:rPr>
        <w:tab/>
        <w:t>$</w:t>
      </w:r>
      <w:r w:rsidRPr="00581E66">
        <w:rPr>
          <w:sz w:val="24"/>
          <w:szCs w:val="24"/>
        </w:rPr>
        <w:tab/>
        <w:t>5,510</w:t>
      </w:r>
    </w:p>
    <w:p w:rsidR="00581E66" w:rsidRPr="00581E66" w:rsidRDefault="00581E66" w:rsidP="00581E66">
      <w:pPr>
        <w:tabs>
          <w:tab w:val="left" w:pos="720"/>
          <w:tab w:val="left" w:pos="3600"/>
          <w:tab w:val="left" w:pos="3780"/>
          <w:tab w:val="left" w:pos="3960"/>
          <w:tab w:val="left" w:pos="5760"/>
          <w:tab w:val="left" w:pos="8550"/>
          <w:tab w:val="left" w:pos="8730"/>
          <w:tab w:val="left" w:pos="8910"/>
        </w:tabs>
        <w:jc w:val="both"/>
        <w:rPr>
          <w:sz w:val="24"/>
          <w:szCs w:val="24"/>
        </w:rPr>
      </w:pPr>
      <w:r w:rsidRPr="00581E66">
        <w:rPr>
          <w:sz w:val="24"/>
          <w:szCs w:val="24"/>
        </w:rPr>
        <w:tab/>
        <w:t>Demand deposits from other FIs</w:t>
      </w:r>
      <w:r w:rsidRPr="00581E66">
        <w:rPr>
          <w:sz w:val="24"/>
          <w:szCs w:val="24"/>
        </w:rPr>
        <w:tab/>
        <w:t xml:space="preserve">   1,350</w:t>
      </w:r>
      <w:r w:rsidRPr="00581E66">
        <w:rPr>
          <w:sz w:val="24"/>
          <w:szCs w:val="24"/>
        </w:rPr>
        <w:tab/>
        <w:t xml:space="preserve">Small time deposits              </w:t>
      </w:r>
      <w:r w:rsidRPr="00581E66">
        <w:rPr>
          <w:sz w:val="24"/>
          <w:szCs w:val="24"/>
        </w:rPr>
        <w:tab/>
        <w:t xml:space="preserve">  10,800</w:t>
      </w:r>
    </w:p>
    <w:p w:rsidR="00581E66" w:rsidRPr="00581E66" w:rsidRDefault="00581E66" w:rsidP="00581E66">
      <w:pPr>
        <w:tabs>
          <w:tab w:val="left" w:pos="720"/>
          <w:tab w:val="left" w:pos="3600"/>
          <w:tab w:val="left" w:pos="3780"/>
          <w:tab w:val="left" w:pos="3960"/>
          <w:tab w:val="left" w:pos="5760"/>
          <w:tab w:val="left" w:pos="8550"/>
          <w:tab w:val="left" w:pos="8730"/>
          <w:tab w:val="left" w:pos="8910"/>
        </w:tabs>
        <w:jc w:val="both"/>
        <w:rPr>
          <w:sz w:val="24"/>
          <w:szCs w:val="24"/>
        </w:rPr>
      </w:pPr>
      <w:r w:rsidRPr="00581E66">
        <w:rPr>
          <w:sz w:val="24"/>
          <w:szCs w:val="24"/>
        </w:rPr>
        <w:tab/>
        <w:t>Investments</w:t>
      </w:r>
      <w:r w:rsidRPr="00581E66">
        <w:rPr>
          <w:sz w:val="24"/>
          <w:szCs w:val="24"/>
        </w:rPr>
        <w:tab/>
      </w:r>
      <w:r w:rsidRPr="00581E66">
        <w:rPr>
          <w:sz w:val="24"/>
          <w:szCs w:val="24"/>
        </w:rPr>
        <w:tab/>
      </w:r>
      <w:r>
        <w:rPr>
          <w:sz w:val="24"/>
          <w:szCs w:val="24"/>
        </w:rPr>
        <w:t xml:space="preserve">      </w:t>
      </w:r>
      <w:r w:rsidRPr="00581E66">
        <w:rPr>
          <w:sz w:val="24"/>
          <w:szCs w:val="24"/>
        </w:rPr>
        <w:t>4,050</w:t>
      </w:r>
      <w:r w:rsidRPr="00581E66">
        <w:rPr>
          <w:sz w:val="24"/>
          <w:szCs w:val="24"/>
        </w:rPr>
        <w:tab/>
        <w:t>Jumbo CDs</w:t>
      </w:r>
      <w:r w:rsidRPr="00581E66">
        <w:rPr>
          <w:sz w:val="24"/>
          <w:szCs w:val="24"/>
        </w:rPr>
        <w:tab/>
      </w:r>
      <w:r w:rsidRPr="00581E66">
        <w:rPr>
          <w:sz w:val="24"/>
          <w:szCs w:val="24"/>
        </w:rPr>
        <w:tab/>
        <w:t>3,200</w:t>
      </w:r>
    </w:p>
    <w:p w:rsidR="00581E66" w:rsidRPr="00581E66" w:rsidRDefault="00581E66" w:rsidP="00581E66">
      <w:pPr>
        <w:tabs>
          <w:tab w:val="left" w:pos="720"/>
          <w:tab w:val="left" w:pos="3600"/>
          <w:tab w:val="left" w:pos="3780"/>
          <w:tab w:val="left" w:pos="3960"/>
          <w:tab w:val="left" w:pos="5760"/>
          <w:tab w:val="left" w:pos="8550"/>
          <w:tab w:val="left" w:pos="8730"/>
          <w:tab w:val="left" w:pos="8910"/>
        </w:tabs>
        <w:jc w:val="both"/>
        <w:rPr>
          <w:sz w:val="24"/>
          <w:szCs w:val="24"/>
        </w:rPr>
      </w:pPr>
      <w:r w:rsidRPr="00581E66">
        <w:rPr>
          <w:sz w:val="24"/>
          <w:szCs w:val="24"/>
        </w:rPr>
        <w:tab/>
        <w:t>Federal funds sold</w:t>
      </w:r>
      <w:r w:rsidRPr="00581E66">
        <w:rPr>
          <w:sz w:val="24"/>
          <w:szCs w:val="24"/>
        </w:rPr>
        <w:tab/>
        <w:t xml:space="preserve">   </w:t>
      </w:r>
      <w:r>
        <w:rPr>
          <w:sz w:val="24"/>
          <w:szCs w:val="24"/>
        </w:rPr>
        <w:t xml:space="preserve">     </w:t>
      </w:r>
      <w:r w:rsidRPr="00581E66">
        <w:rPr>
          <w:sz w:val="24"/>
          <w:szCs w:val="24"/>
        </w:rPr>
        <w:t xml:space="preserve"> 2,025</w:t>
      </w:r>
      <w:r w:rsidRPr="00581E66">
        <w:rPr>
          <w:sz w:val="24"/>
          <w:szCs w:val="24"/>
        </w:rPr>
        <w:tab/>
        <w:t>Federal funds purchased</w:t>
      </w:r>
      <w:r w:rsidRPr="00581E66">
        <w:rPr>
          <w:sz w:val="24"/>
          <w:szCs w:val="24"/>
        </w:rPr>
        <w:tab/>
      </w:r>
      <w:r w:rsidRPr="00581E66">
        <w:rPr>
          <w:sz w:val="24"/>
          <w:szCs w:val="24"/>
        </w:rPr>
        <w:tab/>
        <w:t>2,250</w:t>
      </w:r>
    </w:p>
    <w:p w:rsidR="00581E66" w:rsidRPr="00581E66" w:rsidRDefault="00581E66" w:rsidP="00581E66">
      <w:pPr>
        <w:tabs>
          <w:tab w:val="left" w:pos="720"/>
          <w:tab w:val="left" w:pos="3600"/>
          <w:tab w:val="left" w:pos="3780"/>
          <w:tab w:val="left" w:pos="3960"/>
          <w:tab w:val="left" w:pos="5760"/>
          <w:tab w:val="left" w:pos="8550"/>
          <w:tab w:val="left" w:pos="8730"/>
          <w:tab w:val="left" w:pos="8910"/>
        </w:tabs>
        <w:jc w:val="both"/>
        <w:rPr>
          <w:sz w:val="24"/>
          <w:szCs w:val="24"/>
        </w:rPr>
      </w:pPr>
      <w:r w:rsidRPr="00581E66">
        <w:rPr>
          <w:sz w:val="24"/>
          <w:szCs w:val="24"/>
        </w:rPr>
        <w:tab/>
        <w:t>Loans</w:t>
      </w:r>
      <w:r w:rsidRPr="00581E66">
        <w:rPr>
          <w:sz w:val="24"/>
          <w:szCs w:val="24"/>
        </w:rPr>
        <w:tab/>
        <w:t xml:space="preserve">  </w:t>
      </w:r>
      <w:r>
        <w:rPr>
          <w:sz w:val="24"/>
          <w:szCs w:val="24"/>
        </w:rPr>
        <w:t xml:space="preserve">     </w:t>
      </w:r>
      <w:r w:rsidRPr="00581E66">
        <w:rPr>
          <w:sz w:val="24"/>
          <w:szCs w:val="24"/>
        </w:rPr>
        <w:t>15,525</w:t>
      </w:r>
      <w:r w:rsidRPr="00581E66">
        <w:rPr>
          <w:sz w:val="24"/>
          <w:szCs w:val="24"/>
        </w:rPr>
        <w:tab/>
        <w:t>Equity</w:t>
      </w:r>
      <w:r w:rsidRPr="00581E66">
        <w:rPr>
          <w:sz w:val="24"/>
          <w:szCs w:val="24"/>
        </w:rPr>
        <w:tab/>
      </w:r>
      <w:r w:rsidRPr="00581E66">
        <w:rPr>
          <w:sz w:val="24"/>
          <w:szCs w:val="24"/>
        </w:rPr>
        <w:tab/>
      </w:r>
      <w:r w:rsidRPr="00581E66">
        <w:rPr>
          <w:sz w:val="24"/>
          <w:szCs w:val="24"/>
          <w:u w:val="single"/>
        </w:rPr>
        <w:t>2,200</w:t>
      </w:r>
    </w:p>
    <w:p w:rsidR="00581E66" w:rsidRDefault="00581E66" w:rsidP="00581E66">
      <w:pPr>
        <w:tabs>
          <w:tab w:val="left" w:pos="720"/>
          <w:tab w:val="left" w:pos="1080"/>
          <w:tab w:val="left" w:pos="3600"/>
          <w:tab w:val="left" w:pos="3780"/>
          <w:tab w:val="left" w:pos="3960"/>
          <w:tab w:val="left" w:pos="5760"/>
          <w:tab w:val="left" w:pos="8550"/>
          <w:tab w:val="left" w:pos="8730"/>
          <w:tab w:val="left" w:pos="8910"/>
        </w:tabs>
        <w:jc w:val="both"/>
        <w:rPr>
          <w:sz w:val="24"/>
          <w:szCs w:val="24"/>
        </w:rPr>
      </w:pPr>
      <w:r w:rsidRPr="00581E66">
        <w:rPr>
          <w:sz w:val="24"/>
          <w:szCs w:val="24"/>
        </w:rPr>
        <w:tab/>
        <w:t>Reserve for loan losses</w:t>
      </w:r>
      <w:r w:rsidRPr="00581E66">
        <w:rPr>
          <w:sz w:val="24"/>
          <w:szCs w:val="24"/>
        </w:rPr>
        <w:tab/>
        <w:t xml:space="preserve"> </w:t>
      </w:r>
      <w:r>
        <w:rPr>
          <w:sz w:val="24"/>
          <w:szCs w:val="24"/>
        </w:rPr>
        <w:t xml:space="preserve">      </w:t>
      </w:r>
      <w:r w:rsidRPr="00581E66">
        <w:rPr>
          <w:sz w:val="24"/>
          <w:szCs w:val="24"/>
        </w:rPr>
        <w:t xml:space="preserve"> (1,125)</w:t>
      </w:r>
      <w:r w:rsidRPr="00581E66">
        <w:rPr>
          <w:sz w:val="24"/>
          <w:szCs w:val="24"/>
        </w:rPr>
        <w:tab/>
      </w:r>
    </w:p>
    <w:p w:rsidR="00581E66" w:rsidRDefault="00581E66" w:rsidP="00581E66">
      <w:pPr>
        <w:tabs>
          <w:tab w:val="left" w:pos="720"/>
          <w:tab w:val="left" w:pos="1080"/>
          <w:tab w:val="left" w:pos="3600"/>
          <w:tab w:val="left" w:pos="3780"/>
          <w:tab w:val="left" w:pos="3960"/>
          <w:tab w:val="left" w:pos="5760"/>
          <w:tab w:val="left" w:pos="8550"/>
          <w:tab w:val="left" w:pos="8730"/>
          <w:tab w:val="left" w:pos="8910"/>
        </w:tabs>
        <w:jc w:val="both"/>
        <w:rPr>
          <w:sz w:val="24"/>
          <w:szCs w:val="24"/>
        </w:rPr>
      </w:pPr>
      <w:r>
        <w:rPr>
          <w:sz w:val="24"/>
          <w:szCs w:val="24"/>
        </w:rPr>
        <w:tab/>
      </w:r>
      <w:r w:rsidRPr="00581E66">
        <w:rPr>
          <w:sz w:val="24"/>
          <w:szCs w:val="24"/>
        </w:rPr>
        <w:t>Premises</w:t>
      </w:r>
      <w:r w:rsidRPr="00581E66">
        <w:rPr>
          <w:sz w:val="24"/>
          <w:szCs w:val="24"/>
        </w:rPr>
        <w:tab/>
      </w:r>
      <w:r>
        <w:rPr>
          <w:sz w:val="24"/>
          <w:szCs w:val="24"/>
        </w:rPr>
        <w:t xml:space="preserve">         </w:t>
      </w:r>
      <w:r w:rsidRPr="00581E66">
        <w:rPr>
          <w:sz w:val="24"/>
          <w:szCs w:val="24"/>
          <w:u w:val="single"/>
        </w:rPr>
        <w:t>1,685</w:t>
      </w:r>
      <w:r w:rsidRPr="00581E66">
        <w:rPr>
          <w:sz w:val="24"/>
          <w:szCs w:val="24"/>
        </w:rPr>
        <w:tab/>
      </w:r>
    </w:p>
    <w:p w:rsidR="00581E66" w:rsidRPr="00581E66" w:rsidRDefault="00581E66" w:rsidP="00581E66">
      <w:pPr>
        <w:tabs>
          <w:tab w:val="left" w:pos="720"/>
          <w:tab w:val="left" w:pos="1080"/>
          <w:tab w:val="left" w:pos="3600"/>
          <w:tab w:val="left" w:pos="3780"/>
          <w:tab w:val="left" w:pos="3960"/>
          <w:tab w:val="left" w:pos="5760"/>
          <w:tab w:val="left" w:pos="8550"/>
          <w:tab w:val="left" w:pos="8730"/>
          <w:tab w:val="left" w:pos="8910"/>
        </w:tabs>
        <w:jc w:val="both"/>
        <w:rPr>
          <w:sz w:val="24"/>
          <w:szCs w:val="24"/>
        </w:rPr>
      </w:pPr>
      <w:r>
        <w:rPr>
          <w:sz w:val="24"/>
          <w:szCs w:val="24"/>
        </w:rPr>
        <w:tab/>
      </w:r>
      <w:r w:rsidRPr="00581E66">
        <w:rPr>
          <w:sz w:val="24"/>
          <w:szCs w:val="24"/>
        </w:rPr>
        <w:t xml:space="preserve">Total assets           </w:t>
      </w:r>
      <w:r w:rsidRPr="00581E66">
        <w:rPr>
          <w:sz w:val="24"/>
          <w:szCs w:val="24"/>
        </w:rPr>
        <w:tab/>
        <w:t xml:space="preserve">     $23,960</w:t>
      </w:r>
      <w:r w:rsidRPr="00581E66">
        <w:rPr>
          <w:sz w:val="24"/>
          <w:szCs w:val="24"/>
        </w:rPr>
        <w:tab/>
      </w:r>
      <w:r>
        <w:rPr>
          <w:sz w:val="24"/>
          <w:szCs w:val="24"/>
        </w:rPr>
        <w:t>T</w:t>
      </w:r>
      <w:r w:rsidRPr="00581E66">
        <w:rPr>
          <w:sz w:val="24"/>
          <w:szCs w:val="24"/>
        </w:rPr>
        <w:t>otal liabilities/equity</w:t>
      </w:r>
      <w:r>
        <w:rPr>
          <w:sz w:val="24"/>
          <w:szCs w:val="24"/>
        </w:rPr>
        <w:t xml:space="preserve">          </w:t>
      </w:r>
      <w:r w:rsidRPr="00581E66">
        <w:rPr>
          <w:sz w:val="24"/>
          <w:szCs w:val="24"/>
        </w:rPr>
        <w:t>$23,960</w:t>
      </w:r>
    </w:p>
    <w:p w:rsidR="00581E66" w:rsidRPr="00581E66" w:rsidRDefault="00581E66" w:rsidP="00581E66">
      <w:pPr>
        <w:tabs>
          <w:tab w:val="left" w:pos="3780"/>
          <w:tab w:val="left" w:pos="3960"/>
          <w:tab w:val="left" w:pos="8550"/>
          <w:tab w:val="left" w:pos="8730"/>
          <w:tab w:val="left" w:pos="8910"/>
        </w:tabs>
        <w:jc w:val="both"/>
        <w:rPr>
          <w:sz w:val="24"/>
          <w:szCs w:val="24"/>
        </w:rPr>
      </w:pPr>
    </w:p>
    <w:p w:rsidR="00581E66" w:rsidRPr="00581E66" w:rsidRDefault="00581E66" w:rsidP="00581E66">
      <w:pPr>
        <w:jc w:val="center"/>
        <w:rPr>
          <w:sz w:val="24"/>
          <w:szCs w:val="24"/>
        </w:rPr>
      </w:pPr>
      <w:r w:rsidRPr="00581E66">
        <w:rPr>
          <w:sz w:val="24"/>
          <w:szCs w:val="24"/>
        </w:rPr>
        <w:t>Income Statement - First National Bank</w:t>
      </w:r>
    </w:p>
    <w:p w:rsidR="00581E66" w:rsidRPr="00581E66" w:rsidRDefault="00581E66" w:rsidP="00581E66">
      <w:pPr>
        <w:tabs>
          <w:tab w:val="left" w:pos="2880"/>
          <w:tab w:val="left" w:pos="6480"/>
          <w:tab w:val="left" w:pos="6660"/>
          <w:tab w:val="left" w:pos="6930"/>
        </w:tabs>
        <w:jc w:val="both"/>
        <w:rPr>
          <w:sz w:val="24"/>
          <w:szCs w:val="24"/>
        </w:rPr>
      </w:pPr>
    </w:p>
    <w:p w:rsidR="00581E66" w:rsidRPr="00581E66" w:rsidRDefault="00581E66" w:rsidP="00581E66">
      <w:pPr>
        <w:tabs>
          <w:tab w:val="left" w:pos="2160"/>
          <w:tab w:val="left" w:pos="6570"/>
          <w:tab w:val="left" w:pos="6750"/>
          <w:tab w:val="left" w:pos="6930"/>
        </w:tabs>
        <w:jc w:val="both"/>
        <w:rPr>
          <w:sz w:val="24"/>
          <w:szCs w:val="24"/>
        </w:rPr>
      </w:pPr>
      <w:r w:rsidRPr="00581E66">
        <w:rPr>
          <w:sz w:val="24"/>
          <w:szCs w:val="24"/>
        </w:rPr>
        <w:tab/>
        <w:t>Interest Income</w:t>
      </w:r>
      <w:r w:rsidRPr="00581E66">
        <w:rPr>
          <w:sz w:val="24"/>
          <w:szCs w:val="24"/>
        </w:rPr>
        <w:tab/>
        <w:t>$2,600</w:t>
      </w:r>
    </w:p>
    <w:p w:rsidR="00581E66" w:rsidRPr="00581E66" w:rsidRDefault="00581E66" w:rsidP="00581E66">
      <w:pPr>
        <w:tabs>
          <w:tab w:val="left" w:pos="2160"/>
          <w:tab w:val="left" w:pos="6480"/>
          <w:tab w:val="left" w:pos="6840"/>
          <w:tab w:val="left" w:pos="6930"/>
        </w:tabs>
        <w:jc w:val="both"/>
        <w:rPr>
          <w:sz w:val="24"/>
          <w:szCs w:val="24"/>
        </w:rPr>
      </w:pPr>
      <w:r w:rsidRPr="00581E66">
        <w:rPr>
          <w:sz w:val="24"/>
          <w:szCs w:val="24"/>
        </w:rPr>
        <w:tab/>
        <w:t>Interest expense</w:t>
      </w:r>
      <w:r w:rsidRPr="00581E66">
        <w:rPr>
          <w:sz w:val="24"/>
          <w:szCs w:val="24"/>
        </w:rPr>
        <w:tab/>
        <w:t xml:space="preserve">    1,650</w:t>
      </w:r>
    </w:p>
    <w:p w:rsidR="00581E66" w:rsidRPr="00581E66" w:rsidRDefault="00581E66" w:rsidP="00581E66">
      <w:pPr>
        <w:tabs>
          <w:tab w:val="left" w:pos="2160"/>
          <w:tab w:val="left" w:pos="6480"/>
          <w:tab w:val="left" w:pos="6660"/>
          <w:tab w:val="left" w:pos="6750"/>
          <w:tab w:val="left" w:pos="6930"/>
        </w:tabs>
        <w:jc w:val="both"/>
        <w:rPr>
          <w:sz w:val="24"/>
          <w:szCs w:val="24"/>
        </w:rPr>
      </w:pPr>
      <w:r w:rsidRPr="00581E66">
        <w:rPr>
          <w:sz w:val="24"/>
          <w:szCs w:val="24"/>
        </w:rPr>
        <w:tab/>
        <w:t>Provision for loan losses</w:t>
      </w:r>
      <w:r w:rsidRPr="00581E66">
        <w:rPr>
          <w:sz w:val="24"/>
          <w:szCs w:val="24"/>
        </w:rPr>
        <w:tab/>
      </w:r>
      <w:r w:rsidRPr="00581E66">
        <w:rPr>
          <w:sz w:val="24"/>
          <w:szCs w:val="24"/>
        </w:rPr>
        <w:tab/>
        <w:t xml:space="preserve">   180</w:t>
      </w:r>
    </w:p>
    <w:p w:rsidR="00581E66" w:rsidRPr="00581E66" w:rsidRDefault="00581E66" w:rsidP="00581E66">
      <w:pPr>
        <w:tabs>
          <w:tab w:val="left" w:pos="2160"/>
          <w:tab w:val="left" w:pos="6480"/>
          <w:tab w:val="left" w:pos="6660"/>
          <w:tab w:val="left" w:pos="6840"/>
          <w:tab w:val="left" w:pos="6930"/>
        </w:tabs>
        <w:jc w:val="both"/>
        <w:rPr>
          <w:sz w:val="24"/>
          <w:szCs w:val="24"/>
        </w:rPr>
      </w:pPr>
      <w:r w:rsidRPr="00581E66">
        <w:rPr>
          <w:sz w:val="24"/>
          <w:szCs w:val="24"/>
        </w:rPr>
        <w:tab/>
        <w:t>Noninterest income</w:t>
      </w:r>
      <w:r w:rsidRPr="00581E66">
        <w:rPr>
          <w:sz w:val="24"/>
          <w:szCs w:val="24"/>
        </w:rPr>
        <w:tab/>
      </w:r>
      <w:r w:rsidRPr="00581E66">
        <w:rPr>
          <w:sz w:val="24"/>
          <w:szCs w:val="24"/>
        </w:rPr>
        <w:tab/>
      </w:r>
      <w:r w:rsidRPr="00581E66">
        <w:rPr>
          <w:sz w:val="24"/>
          <w:szCs w:val="24"/>
        </w:rPr>
        <w:tab/>
        <w:t>140</w:t>
      </w:r>
    </w:p>
    <w:p w:rsidR="00581E66" w:rsidRPr="00581E66" w:rsidRDefault="00581E66" w:rsidP="00581E66">
      <w:pPr>
        <w:tabs>
          <w:tab w:val="left" w:pos="2160"/>
          <w:tab w:val="left" w:pos="6480"/>
          <w:tab w:val="left" w:pos="6660"/>
          <w:tab w:val="left" w:pos="6840"/>
          <w:tab w:val="left" w:pos="6930"/>
        </w:tabs>
        <w:jc w:val="both"/>
        <w:rPr>
          <w:sz w:val="24"/>
          <w:szCs w:val="24"/>
        </w:rPr>
      </w:pPr>
      <w:r w:rsidRPr="00581E66">
        <w:rPr>
          <w:sz w:val="24"/>
          <w:szCs w:val="24"/>
        </w:rPr>
        <w:tab/>
        <w:t>Noninterest expense</w:t>
      </w:r>
      <w:r w:rsidRPr="00581E66">
        <w:rPr>
          <w:sz w:val="24"/>
          <w:szCs w:val="24"/>
        </w:rPr>
        <w:tab/>
      </w:r>
      <w:r w:rsidRPr="00581E66">
        <w:rPr>
          <w:sz w:val="24"/>
          <w:szCs w:val="24"/>
        </w:rPr>
        <w:tab/>
      </w:r>
      <w:r w:rsidRPr="00581E66">
        <w:rPr>
          <w:sz w:val="24"/>
          <w:szCs w:val="24"/>
        </w:rPr>
        <w:tab/>
        <w:t>420</w:t>
      </w:r>
    </w:p>
    <w:p w:rsidR="00581E66" w:rsidRPr="00581E66" w:rsidRDefault="00581E66" w:rsidP="00581E66">
      <w:pPr>
        <w:tabs>
          <w:tab w:val="left" w:pos="2160"/>
          <w:tab w:val="left" w:pos="6480"/>
          <w:tab w:val="left" w:pos="6660"/>
          <w:tab w:val="left" w:pos="6750"/>
          <w:tab w:val="left" w:pos="6930"/>
        </w:tabs>
        <w:jc w:val="both"/>
        <w:rPr>
          <w:sz w:val="24"/>
          <w:szCs w:val="24"/>
        </w:rPr>
      </w:pPr>
      <w:r w:rsidRPr="00581E66">
        <w:rPr>
          <w:sz w:val="24"/>
          <w:szCs w:val="24"/>
        </w:rPr>
        <w:tab/>
        <w:t>Taxes</w:t>
      </w:r>
      <w:r w:rsidRPr="00581E66">
        <w:rPr>
          <w:sz w:val="24"/>
          <w:szCs w:val="24"/>
        </w:rPr>
        <w:tab/>
      </w:r>
      <w:r w:rsidRPr="00581E66">
        <w:rPr>
          <w:sz w:val="24"/>
          <w:szCs w:val="24"/>
        </w:rPr>
        <w:tab/>
      </w:r>
      <w:r w:rsidRPr="00581E66">
        <w:rPr>
          <w:sz w:val="24"/>
          <w:szCs w:val="24"/>
        </w:rPr>
        <w:tab/>
        <w:t xml:space="preserve">   90</w:t>
      </w:r>
    </w:p>
    <w:p w:rsidR="00581E66" w:rsidRPr="00581E66" w:rsidRDefault="00581E66" w:rsidP="00581E66">
      <w:pPr>
        <w:tabs>
          <w:tab w:val="left" w:pos="2160"/>
          <w:tab w:val="left" w:pos="6660"/>
          <w:tab w:val="left" w:pos="6750"/>
          <w:tab w:val="left" w:pos="6930"/>
        </w:tabs>
        <w:jc w:val="both"/>
        <w:rPr>
          <w:sz w:val="24"/>
          <w:szCs w:val="24"/>
        </w:rPr>
      </w:pPr>
    </w:p>
    <w:p w:rsidR="00581E66" w:rsidRDefault="00581E66" w:rsidP="00581E66">
      <w:pPr>
        <w:jc w:val="both"/>
        <w:rPr>
          <w:sz w:val="24"/>
          <w:szCs w:val="24"/>
        </w:rPr>
      </w:pPr>
      <w:r>
        <w:rPr>
          <w:sz w:val="24"/>
          <w:szCs w:val="24"/>
        </w:rPr>
        <w:tab/>
      </w:r>
      <w:proofErr w:type="gramStart"/>
      <w:r w:rsidRPr="00581E66">
        <w:rPr>
          <w:sz w:val="24"/>
          <w:szCs w:val="24"/>
        </w:rPr>
        <w:t>a.  Calculate</w:t>
      </w:r>
      <w:proofErr w:type="gramEnd"/>
      <w:r w:rsidRPr="00581E66">
        <w:rPr>
          <w:sz w:val="24"/>
          <w:szCs w:val="24"/>
        </w:rPr>
        <w:t xml:space="preserve"> the dollar value of FNB’s earning assets.</w:t>
      </w:r>
    </w:p>
    <w:p w:rsidR="00581E66" w:rsidRDefault="00581E66" w:rsidP="00581E66">
      <w:pPr>
        <w:jc w:val="both"/>
        <w:rPr>
          <w:sz w:val="24"/>
          <w:szCs w:val="24"/>
        </w:rPr>
      </w:pPr>
    </w:p>
    <w:p w:rsidR="00581E66" w:rsidRPr="00694615" w:rsidRDefault="00581E66" w:rsidP="00581E66">
      <w:pPr>
        <w:rPr>
          <w:sz w:val="24"/>
          <w:szCs w:val="24"/>
        </w:rPr>
      </w:pPr>
      <w:r w:rsidRPr="00694615">
        <w:rPr>
          <w:sz w:val="24"/>
          <w:szCs w:val="24"/>
        </w:rPr>
        <w:t>Earning assets = investment securities + net loans</w:t>
      </w:r>
    </w:p>
    <w:p w:rsidR="00581E66" w:rsidRPr="00694615" w:rsidRDefault="00581E66" w:rsidP="00581E66">
      <w:pPr>
        <w:rPr>
          <w:sz w:val="24"/>
          <w:szCs w:val="24"/>
        </w:rPr>
      </w:pPr>
      <w:r w:rsidRPr="00694615">
        <w:rPr>
          <w:sz w:val="24"/>
          <w:szCs w:val="24"/>
        </w:rPr>
        <w:t xml:space="preserve">      </w:t>
      </w:r>
      <w:r>
        <w:rPr>
          <w:sz w:val="24"/>
          <w:szCs w:val="24"/>
        </w:rPr>
        <w:t xml:space="preserve">         </w:t>
      </w:r>
      <w:r w:rsidRPr="00694615">
        <w:rPr>
          <w:sz w:val="24"/>
          <w:szCs w:val="24"/>
        </w:rPr>
        <w:t xml:space="preserve">  = $4,050 + $2,025 + $15,525 – $1,125 = $20,475</w:t>
      </w:r>
    </w:p>
    <w:p w:rsidR="00581E66" w:rsidRPr="00581E66" w:rsidRDefault="00581E66" w:rsidP="00581E66">
      <w:pPr>
        <w:jc w:val="both"/>
        <w:rPr>
          <w:sz w:val="24"/>
          <w:szCs w:val="24"/>
        </w:rPr>
      </w:pPr>
    </w:p>
    <w:p w:rsidR="00581E66" w:rsidRPr="00581E66" w:rsidRDefault="00581E66" w:rsidP="00581E66">
      <w:pPr>
        <w:jc w:val="both"/>
        <w:rPr>
          <w:sz w:val="24"/>
          <w:szCs w:val="24"/>
        </w:rPr>
      </w:pPr>
    </w:p>
    <w:p w:rsidR="00581E66" w:rsidRDefault="00581E66" w:rsidP="00581E66">
      <w:pPr>
        <w:jc w:val="both"/>
        <w:rPr>
          <w:sz w:val="24"/>
          <w:szCs w:val="24"/>
        </w:rPr>
      </w:pPr>
      <w:r>
        <w:rPr>
          <w:sz w:val="24"/>
          <w:szCs w:val="24"/>
        </w:rPr>
        <w:tab/>
      </w:r>
      <w:proofErr w:type="gramStart"/>
      <w:r w:rsidRPr="00581E66">
        <w:rPr>
          <w:sz w:val="24"/>
          <w:szCs w:val="24"/>
        </w:rPr>
        <w:t>b.  Calculate</w:t>
      </w:r>
      <w:proofErr w:type="gramEnd"/>
      <w:r w:rsidRPr="00581E66">
        <w:rPr>
          <w:sz w:val="24"/>
          <w:szCs w:val="24"/>
        </w:rPr>
        <w:t xml:space="preserve"> FNB’s ROA.</w:t>
      </w:r>
    </w:p>
    <w:p w:rsidR="00581E66" w:rsidRDefault="00581E66" w:rsidP="00581E66">
      <w:pPr>
        <w:jc w:val="both"/>
        <w:rPr>
          <w:sz w:val="24"/>
          <w:szCs w:val="24"/>
        </w:rPr>
      </w:pPr>
    </w:p>
    <w:p w:rsidR="00581E66" w:rsidRPr="00581E66" w:rsidRDefault="00581E66" w:rsidP="00581E66">
      <w:pPr>
        <w:jc w:val="both"/>
        <w:rPr>
          <w:sz w:val="24"/>
          <w:szCs w:val="24"/>
        </w:rPr>
      </w:pPr>
      <w:r w:rsidRPr="00694615">
        <w:rPr>
          <w:sz w:val="24"/>
          <w:szCs w:val="24"/>
        </w:rPr>
        <w:t>ROA = ($2,600 – $1,650 – $180 + $140 – $420 – $90)/$23,960 = 1.67%</w:t>
      </w:r>
    </w:p>
    <w:p w:rsidR="00581E66" w:rsidRPr="00581E66" w:rsidRDefault="00581E66" w:rsidP="00581E66">
      <w:pPr>
        <w:jc w:val="both"/>
        <w:rPr>
          <w:sz w:val="24"/>
          <w:szCs w:val="24"/>
        </w:rPr>
      </w:pPr>
    </w:p>
    <w:p w:rsidR="00581E66" w:rsidRDefault="00581E66" w:rsidP="00581E66">
      <w:pPr>
        <w:jc w:val="both"/>
        <w:rPr>
          <w:sz w:val="24"/>
          <w:szCs w:val="24"/>
        </w:rPr>
      </w:pPr>
      <w:r>
        <w:rPr>
          <w:sz w:val="24"/>
          <w:szCs w:val="24"/>
        </w:rPr>
        <w:tab/>
      </w:r>
      <w:proofErr w:type="gramStart"/>
      <w:r w:rsidRPr="00581E66">
        <w:rPr>
          <w:sz w:val="24"/>
          <w:szCs w:val="24"/>
        </w:rPr>
        <w:t>c.  Calculate</w:t>
      </w:r>
      <w:proofErr w:type="gramEnd"/>
      <w:r w:rsidRPr="00581E66">
        <w:rPr>
          <w:sz w:val="24"/>
          <w:szCs w:val="24"/>
        </w:rPr>
        <w:t xml:space="preserve"> FNB’s asset utilization ratio.</w:t>
      </w:r>
    </w:p>
    <w:p w:rsidR="00581E66" w:rsidRDefault="00581E66" w:rsidP="00581E66">
      <w:pPr>
        <w:jc w:val="both"/>
        <w:rPr>
          <w:sz w:val="24"/>
          <w:szCs w:val="24"/>
        </w:rPr>
      </w:pPr>
    </w:p>
    <w:p w:rsidR="00581E66" w:rsidRPr="00581E66" w:rsidRDefault="00581E66" w:rsidP="00581E66">
      <w:pPr>
        <w:jc w:val="both"/>
        <w:rPr>
          <w:sz w:val="24"/>
          <w:szCs w:val="24"/>
        </w:rPr>
      </w:pPr>
      <w:r w:rsidRPr="00694615">
        <w:rPr>
          <w:sz w:val="24"/>
          <w:szCs w:val="24"/>
        </w:rPr>
        <w:t>Asset utilization = ($2,600 + $140)/$23,960 = 11.44%</w:t>
      </w:r>
    </w:p>
    <w:p w:rsidR="00581E66" w:rsidRPr="00581E66" w:rsidRDefault="00581E66" w:rsidP="00581E66">
      <w:pPr>
        <w:jc w:val="both"/>
        <w:rPr>
          <w:sz w:val="24"/>
          <w:szCs w:val="24"/>
        </w:rPr>
      </w:pPr>
    </w:p>
    <w:p w:rsidR="00581E66" w:rsidRPr="00581E66" w:rsidRDefault="00581E66" w:rsidP="00581E66">
      <w:pPr>
        <w:jc w:val="both"/>
        <w:rPr>
          <w:sz w:val="24"/>
          <w:szCs w:val="24"/>
        </w:rPr>
      </w:pPr>
      <w:r>
        <w:rPr>
          <w:sz w:val="24"/>
          <w:szCs w:val="24"/>
        </w:rPr>
        <w:tab/>
      </w:r>
      <w:proofErr w:type="gramStart"/>
      <w:r w:rsidRPr="00581E66">
        <w:rPr>
          <w:sz w:val="24"/>
          <w:szCs w:val="24"/>
        </w:rPr>
        <w:t>d.  Calculate</w:t>
      </w:r>
      <w:proofErr w:type="gramEnd"/>
      <w:r w:rsidRPr="00581E66">
        <w:rPr>
          <w:sz w:val="24"/>
          <w:szCs w:val="24"/>
        </w:rPr>
        <w:t xml:space="preserve"> FNB’s spread.</w:t>
      </w:r>
    </w:p>
    <w:p w:rsidR="00581E66" w:rsidRPr="00697406" w:rsidRDefault="00581E66" w:rsidP="00581E66">
      <w:pPr>
        <w:jc w:val="both"/>
      </w:pPr>
    </w:p>
    <w:p w:rsidR="00581E66" w:rsidRDefault="00581E66" w:rsidP="00694615">
      <w:pPr>
        <w:rPr>
          <w:sz w:val="24"/>
          <w:szCs w:val="24"/>
        </w:rPr>
      </w:pPr>
      <w:r w:rsidRPr="00694615">
        <w:rPr>
          <w:sz w:val="24"/>
          <w:szCs w:val="24"/>
        </w:rPr>
        <w:t>Spread = ($2,600/$20,475) – ($1,650</w:t>
      </w:r>
      <w:proofErr w:type="gramStart"/>
      <w:r w:rsidRPr="00694615">
        <w:rPr>
          <w:sz w:val="24"/>
          <w:szCs w:val="24"/>
        </w:rPr>
        <w:t>/(</w:t>
      </w:r>
      <w:proofErr w:type="gramEnd"/>
      <w:r w:rsidRPr="00694615">
        <w:rPr>
          <w:sz w:val="24"/>
          <w:szCs w:val="24"/>
        </w:rPr>
        <w:t>$10,800 + $3,200 + $2,250)) = 2.54%</w:t>
      </w:r>
    </w:p>
    <w:p w:rsidR="008A1F5A" w:rsidRDefault="00694615" w:rsidP="00581E66">
      <w:pPr>
        <w:rPr>
          <w:sz w:val="24"/>
          <w:szCs w:val="24"/>
        </w:rPr>
      </w:pPr>
      <w:r w:rsidRPr="00694615">
        <w:rPr>
          <w:sz w:val="24"/>
          <w:szCs w:val="24"/>
        </w:rPr>
        <w:t xml:space="preserve"> </w:t>
      </w:r>
    </w:p>
    <w:p w:rsidR="008A1F5A" w:rsidRDefault="008A1F5A">
      <w:pPr>
        <w:rPr>
          <w:sz w:val="24"/>
          <w:szCs w:val="24"/>
        </w:rPr>
      </w:pPr>
      <w:r>
        <w:rPr>
          <w:sz w:val="24"/>
          <w:szCs w:val="24"/>
        </w:rPr>
        <w:br w:type="page"/>
      </w:r>
    </w:p>
    <w:p w:rsidR="00694615" w:rsidRDefault="00694615" w:rsidP="00581E66">
      <w:pPr>
        <w:rPr>
          <w:sz w:val="24"/>
          <w:szCs w:val="24"/>
        </w:rPr>
      </w:pPr>
    </w:p>
    <w:p w:rsidR="00581E66" w:rsidRPr="00581E66" w:rsidRDefault="00581E66" w:rsidP="009707D8">
      <w:pPr>
        <w:ind w:left="540" w:hanging="540"/>
        <w:rPr>
          <w:sz w:val="24"/>
          <w:szCs w:val="24"/>
        </w:rPr>
      </w:pPr>
      <w:r w:rsidRPr="00581E66">
        <w:rPr>
          <w:sz w:val="24"/>
          <w:szCs w:val="24"/>
        </w:rPr>
        <w:t xml:space="preserve">26. </w:t>
      </w:r>
      <w:r w:rsidR="009707D8">
        <w:rPr>
          <w:sz w:val="24"/>
          <w:szCs w:val="24"/>
        </w:rPr>
        <w:t xml:space="preserve"> </w:t>
      </w:r>
      <w:r w:rsidR="009707D8">
        <w:rPr>
          <w:sz w:val="24"/>
          <w:szCs w:val="24"/>
        </w:rPr>
        <w:tab/>
      </w:r>
      <w:r w:rsidRPr="00581E66">
        <w:rPr>
          <w:sz w:val="24"/>
          <w:szCs w:val="24"/>
        </w:rPr>
        <w:t>Megalopolis Bank has the following balance sheet and income statement.</w:t>
      </w:r>
    </w:p>
    <w:p w:rsidR="00F120E4" w:rsidRDefault="00F120E4" w:rsidP="00581E66">
      <w:pPr>
        <w:rPr>
          <w:bCs/>
          <w:sz w:val="24"/>
          <w:szCs w:val="24"/>
        </w:rPr>
      </w:pPr>
    </w:p>
    <w:p w:rsidR="00581E66" w:rsidRPr="00581E66" w:rsidRDefault="002B5049" w:rsidP="00581E66">
      <w:pPr>
        <w:rPr>
          <w:sz w:val="24"/>
          <w:szCs w:val="24"/>
        </w:rPr>
      </w:pPr>
      <w:r>
        <w:rPr>
          <w:bCs/>
          <w:sz w:val="24"/>
          <w:szCs w:val="24"/>
        </w:rPr>
        <w:tab/>
      </w:r>
      <w:r>
        <w:rPr>
          <w:bCs/>
          <w:sz w:val="24"/>
          <w:szCs w:val="24"/>
        </w:rPr>
        <w:tab/>
      </w:r>
      <w:r>
        <w:rPr>
          <w:bCs/>
          <w:sz w:val="24"/>
          <w:szCs w:val="24"/>
        </w:rPr>
        <w:tab/>
      </w:r>
      <w:r w:rsidR="00581E66" w:rsidRPr="00581E66">
        <w:rPr>
          <w:bCs/>
          <w:sz w:val="24"/>
          <w:szCs w:val="24"/>
        </w:rPr>
        <w:t xml:space="preserve">Balance </w:t>
      </w:r>
      <w:proofErr w:type="gramStart"/>
      <w:r w:rsidR="00581E66" w:rsidRPr="00581E66">
        <w:rPr>
          <w:bCs/>
          <w:sz w:val="24"/>
          <w:szCs w:val="24"/>
        </w:rPr>
        <w:t>Sheet  (</w:t>
      </w:r>
      <w:proofErr w:type="gramEnd"/>
      <w:r w:rsidR="00581E66" w:rsidRPr="00581E66">
        <w:rPr>
          <w:bCs/>
          <w:sz w:val="24"/>
          <w:szCs w:val="24"/>
        </w:rPr>
        <w:t>in millions)</w:t>
      </w:r>
    </w:p>
    <w:p w:rsidR="00581E66" w:rsidRPr="00581E66" w:rsidRDefault="00581E66" w:rsidP="00581E66">
      <w:pPr>
        <w:rPr>
          <w:sz w:val="24"/>
          <w:szCs w:val="24"/>
        </w:rPr>
      </w:pPr>
    </w:p>
    <w:p w:rsidR="00581E66" w:rsidRPr="00581E66" w:rsidRDefault="00581E66" w:rsidP="00581E66">
      <w:pPr>
        <w:rPr>
          <w:sz w:val="24"/>
          <w:szCs w:val="24"/>
        </w:rPr>
      </w:pPr>
      <w:r w:rsidRPr="00581E66">
        <w:rPr>
          <w:sz w:val="24"/>
          <w:szCs w:val="24"/>
        </w:rPr>
        <w:tab/>
      </w:r>
      <w:r w:rsidRPr="00581E66">
        <w:rPr>
          <w:bCs/>
          <w:sz w:val="24"/>
          <w:szCs w:val="24"/>
        </w:rPr>
        <w:t xml:space="preserve">Assets </w:t>
      </w:r>
      <w:r w:rsidRPr="00581E66">
        <w:rPr>
          <w:sz w:val="24"/>
          <w:szCs w:val="24"/>
        </w:rPr>
        <w:tab/>
      </w:r>
      <w:r w:rsidRPr="00581E66">
        <w:rPr>
          <w:sz w:val="24"/>
          <w:szCs w:val="24"/>
        </w:rPr>
        <w:tab/>
      </w:r>
      <w:r w:rsidRPr="00581E66">
        <w:rPr>
          <w:sz w:val="24"/>
          <w:szCs w:val="24"/>
        </w:rPr>
        <w:tab/>
      </w:r>
      <w:r w:rsidRPr="00581E66">
        <w:rPr>
          <w:sz w:val="24"/>
          <w:szCs w:val="24"/>
        </w:rPr>
        <w:tab/>
      </w:r>
      <w:r w:rsidRPr="00581E66">
        <w:rPr>
          <w:sz w:val="24"/>
          <w:szCs w:val="24"/>
        </w:rPr>
        <w:tab/>
      </w:r>
      <w:r w:rsidRPr="00581E66">
        <w:rPr>
          <w:bCs/>
          <w:sz w:val="24"/>
          <w:szCs w:val="24"/>
        </w:rPr>
        <w:t>Liabilities and Equity</w:t>
      </w:r>
    </w:p>
    <w:p w:rsidR="00581E66" w:rsidRPr="00581E66" w:rsidRDefault="00581E66" w:rsidP="00581E66">
      <w:pPr>
        <w:rPr>
          <w:sz w:val="24"/>
          <w:szCs w:val="24"/>
        </w:rPr>
      </w:pPr>
      <w:r w:rsidRPr="00581E66">
        <w:rPr>
          <w:sz w:val="24"/>
          <w:szCs w:val="24"/>
        </w:rPr>
        <w:tab/>
      </w:r>
      <w:r w:rsidRPr="00581E66">
        <w:rPr>
          <w:sz w:val="24"/>
          <w:szCs w:val="24"/>
        </w:rPr>
        <w:tab/>
      </w:r>
      <w:r w:rsidRPr="00581E66">
        <w:rPr>
          <w:sz w:val="24"/>
          <w:szCs w:val="24"/>
        </w:rPr>
        <w:tab/>
      </w:r>
      <w:r w:rsidRPr="00581E66">
        <w:rPr>
          <w:sz w:val="24"/>
          <w:szCs w:val="24"/>
        </w:rPr>
        <w:tab/>
      </w:r>
      <w:r w:rsidRPr="00581E66">
        <w:rPr>
          <w:sz w:val="24"/>
          <w:szCs w:val="24"/>
        </w:rPr>
        <w:tab/>
      </w:r>
      <w:r w:rsidRPr="00581E66">
        <w:rPr>
          <w:sz w:val="24"/>
          <w:szCs w:val="24"/>
        </w:rPr>
        <w:tab/>
      </w:r>
      <w:r w:rsidRPr="00581E66">
        <w:rPr>
          <w:sz w:val="24"/>
          <w:szCs w:val="24"/>
        </w:rPr>
        <w:tab/>
      </w:r>
    </w:p>
    <w:p w:rsidR="00581E66" w:rsidRPr="00581E66" w:rsidRDefault="00581E66" w:rsidP="00581E66">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581E66">
        <w:rPr>
          <w:sz w:val="24"/>
          <w:szCs w:val="24"/>
        </w:rPr>
        <w:t>Cash and due from banks</w:t>
      </w:r>
      <w:r w:rsidRPr="00581E66">
        <w:rPr>
          <w:sz w:val="24"/>
          <w:szCs w:val="24"/>
        </w:rPr>
        <w:tab/>
        <w:t>$9,000</w:t>
      </w:r>
      <w:r w:rsidRPr="00581E66">
        <w:rPr>
          <w:sz w:val="24"/>
          <w:szCs w:val="24"/>
        </w:rPr>
        <w:tab/>
      </w:r>
      <w:r w:rsidRPr="00581E66">
        <w:rPr>
          <w:sz w:val="24"/>
          <w:szCs w:val="24"/>
        </w:rPr>
        <w:tab/>
        <w:t>Demand deposits</w:t>
      </w:r>
      <w:r w:rsidRPr="00581E66">
        <w:rPr>
          <w:sz w:val="24"/>
          <w:szCs w:val="24"/>
        </w:rPr>
        <w:tab/>
      </w:r>
      <w:r w:rsidR="002B5049">
        <w:rPr>
          <w:sz w:val="24"/>
          <w:szCs w:val="24"/>
        </w:rPr>
        <w:t xml:space="preserve">         </w:t>
      </w:r>
      <w:r w:rsidRPr="00581E66">
        <w:rPr>
          <w:sz w:val="24"/>
          <w:szCs w:val="24"/>
        </w:rPr>
        <w:t xml:space="preserve">   $19,000</w:t>
      </w:r>
    </w:p>
    <w:p w:rsidR="00581E66" w:rsidRPr="00581E66" w:rsidRDefault="00581E66" w:rsidP="00581E66">
      <w:pPr>
        <w:tabs>
          <w:tab w:val="left" w:pos="720"/>
          <w:tab w:val="left" w:pos="1440"/>
          <w:tab w:val="left" w:pos="2160"/>
          <w:tab w:val="left" w:pos="2880"/>
          <w:tab w:val="left" w:pos="3600"/>
        </w:tabs>
        <w:ind w:left="3600" w:hanging="3600"/>
        <w:rPr>
          <w:sz w:val="24"/>
          <w:szCs w:val="24"/>
        </w:rPr>
      </w:pPr>
      <w:r w:rsidRPr="00581E66">
        <w:rPr>
          <w:sz w:val="24"/>
          <w:szCs w:val="24"/>
        </w:rPr>
        <w:t>Investment securities</w:t>
      </w:r>
      <w:r w:rsidRPr="00581E66">
        <w:rPr>
          <w:sz w:val="24"/>
          <w:szCs w:val="24"/>
        </w:rPr>
        <w:tab/>
      </w:r>
      <w:r w:rsidRPr="00581E66">
        <w:rPr>
          <w:sz w:val="24"/>
          <w:szCs w:val="24"/>
        </w:rPr>
        <w:tab/>
        <w:t>23,000</w:t>
      </w:r>
      <w:r w:rsidRPr="00581E66">
        <w:rPr>
          <w:sz w:val="24"/>
          <w:szCs w:val="24"/>
        </w:rPr>
        <w:tab/>
      </w:r>
      <w:r w:rsidRPr="00581E66">
        <w:rPr>
          <w:sz w:val="24"/>
          <w:szCs w:val="24"/>
        </w:rPr>
        <w:tab/>
        <w:t>NOW accounts</w:t>
      </w:r>
      <w:r w:rsidRPr="00581E66">
        <w:rPr>
          <w:sz w:val="24"/>
          <w:szCs w:val="24"/>
        </w:rPr>
        <w:tab/>
        <w:t xml:space="preserve">  </w:t>
      </w:r>
      <w:r w:rsidR="002B5049">
        <w:rPr>
          <w:sz w:val="24"/>
          <w:szCs w:val="24"/>
        </w:rPr>
        <w:t xml:space="preserve">         </w:t>
      </w:r>
      <w:r w:rsidRPr="00581E66">
        <w:rPr>
          <w:sz w:val="24"/>
          <w:szCs w:val="24"/>
        </w:rPr>
        <w:t xml:space="preserve">   89,000</w:t>
      </w:r>
    </w:p>
    <w:p w:rsidR="00581E66" w:rsidRPr="00581E66" w:rsidRDefault="00581E66" w:rsidP="00581E66">
      <w:pPr>
        <w:rPr>
          <w:sz w:val="24"/>
          <w:szCs w:val="24"/>
        </w:rPr>
      </w:pPr>
      <w:r w:rsidRPr="00581E66">
        <w:rPr>
          <w:sz w:val="24"/>
          <w:szCs w:val="24"/>
        </w:rPr>
        <w:t>Repurchase agreements</w:t>
      </w:r>
      <w:r w:rsidRPr="00581E66">
        <w:rPr>
          <w:sz w:val="24"/>
          <w:szCs w:val="24"/>
        </w:rPr>
        <w:tab/>
        <w:t>42,000</w:t>
      </w:r>
      <w:r w:rsidRPr="00581E66">
        <w:rPr>
          <w:sz w:val="24"/>
          <w:szCs w:val="24"/>
        </w:rPr>
        <w:tab/>
      </w:r>
      <w:r w:rsidRPr="00581E66">
        <w:rPr>
          <w:sz w:val="24"/>
          <w:szCs w:val="24"/>
        </w:rPr>
        <w:tab/>
        <w:t>Retail CDs</w:t>
      </w:r>
      <w:r w:rsidRPr="00581E66">
        <w:rPr>
          <w:sz w:val="24"/>
          <w:szCs w:val="24"/>
        </w:rPr>
        <w:tab/>
      </w:r>
      <w:r w:rsidRPr="00581E66">
        <w:rPr>
          <w:sz w:val="24"/>
          <w:szCs w:val="24"/>
        </w:rPr>
        <w:tab/>
        <w:t xml:space="preserve"> </w:t>
      </w:r>
      <w:r w:rsidR="002B5049">
        <w:rPr>
          <w:sz w:val="24"/>
          <w:szCs w:val="24"/>
        </w:rPr>
        <w:t xml:space="preserve">         </w:t>
      </w:r>
      <w:r w:rsidRPr="00581E66">
        <w:rPr>
          <w:sz w:val="24"/>
          <w:szCs w:val="24"/>
        </w:rPr>
        <w:t xml:space="preserve">    28,000</w:t>
      </w:r>
    </w:p>
    <w:p w:rsidR="00581E66" w:rsidRPr="00581E66" w:rsidRDefault="00581E66" w:rsidP="00581E66">
      <w:pPr>
        <w:rPr>
          <w:sz w:val="24"/>
          <w:szCs w:val="24"/>
          <w:u w:val="single"/>
        </w:rPr>
      </w:pPr>
      <w:r w:rsidRPr="00581E66">
        <w:rPr>
          <w:sz w:val="24"/>
          <w:szCs w:val="24"/>
        </w:rPr>
        <w:t xml:space="preserve">Loans </w:t>
      </w:r>
      <w:r w:rsidRPr="00581E66">
        <w:rPr>
          <w:sz w:val="24"/>
          <w:szCs w:val="24"/>
        </w:rPr>
        <w:tab/>
      </w:r>
      <w:r w:rsidRPr="00581E66">
        <w:rPr>
          <w:sz w:val="24"/>
          <w:szCs w:val="24"/>
        </w:rPr>
        <w:tab/>
      </w:r>
      <w:r w:rsidRPr="00581E66">
        <w:rPr>
          <w:sz w:val="24"/>
          <w:szCs w:val="24"/>
        </w:rPr>
        <w:tab/>
      </w:r>
      <w:r w:rsidRPr="00581E66">
        <w:rPr>
          <w:sz w:val="24"/>
          <w:szCs w:val="24"/>
        </w:rPr>
        <w:tab/>
        <w:t>90,000</w:t>
      </w:r>
      <w:r w:rsidRPr="00581E66">
        <w:rPr>
          <w:sz w:val="24"/>
          <w:szCs w:val="24"/>
        </w:rPr>
        <w:tab/>
      </w:r>
      <w:r w:rsidRPr="00581E66">
        <w:rPr>
          <w:sz w:val="24"/>
          <w:szCs w:val="24"/>
        </w:rPr>
        <w:tab/>
        <w:t>Debentures</w:t>
      </w:r>
      <w:r w:rsidRPr="00581E66">
        <w:rPr>
          <w:sz w:val="24"/>
          <w:szCs w:val="24"/>
        </w:rPr>
        <w:tab/>
      </w:r>
      <w:r w:rsidRPr="00581E66">
        <w:rPr>
          <w:sz w:val="24"/>
          <w:szCs w:val="24"/>
        </w:rPr>
        <w:tab/>
        <w:t xml:space="preserve">  </w:t>
      </w:r>
      <w:r w:rsidR="002B5049">
        <w:rPr>
          <w:sz w:val="24"/>
          <w:szCs w:val="24"/>
        </w:rPr>
        <w:t xml:space="preserve">         </w:t>
      </w:r>
      <w:r w:rsidRPr="00581E66">
        <w:rPr>
          <w:sz w:val="24"/>
          <w:szCs w:val="24"/>
        </w:rPr>
        <w:t xml:space="preserve">   </w:t>
      </w:r>
      <w:r w:rsidRPr="00581E66">
        <w:rPr>
          <w:sz w:val="24"/>
          <w:szCs w:val="24"/>
          <w:u w:val="single"/>
        </w:rPr>
        <w:t>19,000</w:t>
      </w:r>
    </w:p>
    <w:p w:rsidR="00581E66" w:rsidRPr="00581E66" w:rsidRDefault="00581E66" w:rsidP="00581E66">
      <w:pPr>
        <w:rPr>
          <w:sz w:val="24"/>
          <w:szCs w:val="24"/>
        </w:rPr>
      </w:pPr>
      <w:r w:rsidRPr="00581E66">
        <w:rPr>
          <w:sz w:val="24"/>
          <w:szCs w:val="24"/>
        </w:rPr>
        <w:t>Fixed Assets</w:t>
      </w:r>
      <w:r w:rsidRPr="00581E66">
        <w:rPr>
          <w:sz w:val="24"/>
          <w:szCs w:val="24"/>
        </w:rPr>
        <w:tab/>
      </w:r>
      <w:r w:rsidRPr="00581E66">
        <w:rPr>
          <w:sz w:val="24"/>
          <w:szCs w:val="24"/>
        </w:rPr>
        <w:tab/>
      </w:r>
      <w:r w:rsidRPr="00581E66">
        <w:rPr>
          <w:sz w:val="24"/>
          <w:szCs w:val="24"/>
        </w:rPr>
        <w:tab/>
        <w:t>15,000</w:t>
      </w:r>
      <w:r w:rsidRPr="00581E66">
        <w:rPr>
          <w:sz w:val="24"/>
          <w:szCs w:val="24"/>
        </w:rPr>
        <w:tab/>
      </w:r>
      <w:r w:rsidRPr="00581E66">
        <w:rPr>
          <w:sz w:val="24"/>
          <w:szCs w:val="24"/>
        </w:rPr>
        <w:tab/>
        <w:t xml:space="preserve">Total liabilities         </w:t>
      </w:r>
      <w:r w:rsidR="002B5049">
        <w:rPr>
          <w:sz w:val="24"/>
          <w:szCs w:val="24"/>
        </w:rPr>
        <w:t xml:space="preserve">        </w:t>
      </w:r>
      <w:r w:rsidRPr="00581E66">
        <w:rPr>
          <w:sz w:val="24"/>
          <w:szCs w:val="24"/>
        </w:rPr>
        <w:t xml:space="preserve">    $155,000</w:t>
      </w:r>
    </w:p>
    <w:p w:rsidR="00581E66" w:rsidRPr="00581E66" w:rsidRDefault="00581E66" w:rsidP="00581E66">
      <w:pPr>
        <w:rPr>
          <w:sz w:val="24"/>
          <w:szCs w:val="24"/>
        </w:rPr>
      </w:pPr>
      <w:r w:rsidRPr="00581E66">
        <w:rPr>
          <w:sz w:val="24"/>
          <w:szCs w:val="24"/>
        </w:rPr>
        <w:t>Other assets</w:t>
      </w:r>
      <w:r w:rsidRPr="00581E66">
        <w:rPr>
          <w:sz w:val="24"/>
          <w:szCs w:val="24"/>
        </w:rPr>
        <w:tab/>
      </w:r>
      <w:r w:rsidRPr="00581E66">
        <w:rPr>
          <w:sz w:val="24"/>
          <w:szCs w:val="24"/>
        </w:rPr>
        <w:tab/>
      </w:r>
      <w:r w:rsidRPr="00581E66">
        <w:rPr>
          <w:sz w:val="24"/>
          <w:szCs w:val="24"/>
        </w:rPr>
        <w:tab/>
      </w:r>
      <w:r w:rsidRPr="00581E66">
        <w:rPr>
          <w:sz w:val="24"/>
          <w:szCs w:val="24"/>
          <w:u w:val="single"/>
        </w:rPr>
        <w:t xml:space="preserve">  4,000</w:t>
      </w:r>
      <w:r w:rsidRPr="00581E66">
        <w:rPr>
          <w:sz w:val="24"/>
          <w:szCs w:val="24"/>
        </w:rPr>
        <w:tab/>
      </w:r>
      <w:r w:rsidRPr="00581E66">
        <w:rPr>
          <w:sz w:val="24"/>
          <w:szCs w:val="24"/>
        </w:rPr>
        <w:tab/>
        <w:t>Common stock</w:t>
      </w:r>
      <w:r w:rsidRPr="00581E66">
        <w:rPr>
          <w:sz w:val="24"/>
          <w:szCs w:val="24"/>
        </w:rPr>
        <w:tab/>
        <w:t xml:space="preserve"> </w:t>
      </w:r>
      <w:r w:rsidR="002B5049">
        <w:rPr>
          <w:sz w:val="24"/>
          <w:szCs w:val="24"/>
        </w:rPr>
        <w:t xml:space="preserve">        </w:t>
      </w:r>
      <w:r w:rsidRPr="00581E66">
        <w:rPr>
          <w:sz w:val="24"/>
          <w:szCs w:val="24"/>
        </w:rPr>
        <w:t xml:space="preserve">    12,000</w:t>
      </w:r>
    </w:p>
    <w:p w:rsidR="00581E66" w:rsidRPr="00581E66" w:rsidRDefault="00581E66" w:rsidP="00581E66">
      <w:pPr>
        <w:rPr>
          <w:sz w:val="24"/>
          <w:szCs w:val="24"/>
        </w:rPr>
      </w:pPr>
      <w:r w:rsidRPr="00581E66">
        <w:rPr>
          <w:sz w:val="24"/>
          <w:szCs w:val="24"/>
        </w:rPr>
        <w:t>Total assets</w:t>
      </w:r>
      <w:r w:rsidRPr="00581E66">
        <w:rPr>
          <w:sz w:val="24"/>
          <w:szCs w:val="24"/>
        </w:rPr>
        <w:tab/>
      </w:r>
      <w:r w:rsidR="00F120E4">
        <w:rPr>
          <w:sz w:val="24"/>
          <w:szCs w:val="24"/>
        </w:rPr>
        <w:tab/>
      </w:r>
      <w:r w:rsidRPr="00581E66">
        <w:rPr>
          <w:sz w:val="24"/>
          <w:szCs w:val="24"/>
        </w:rPr>
        <w:t xml:space="preserve">        $183,000 </w:t>
      </w:r>
      <w:r w:rsidRPr="00581E66">
        <w:rPr>
          <w:sz w:val="24"/>
          <w:szCs w:val="24"/>
        </w:rPr>
        <w:tab/>
        <w:t xml:space="preserve">Paid in capital </w:t>
      </w:r>
      <w:r w:rsidRPr="00581E66">
        <w:rPr>
          <w:sz w:val="24"/>
          <w:szCs w:val="24"/>
        </w:rPr>
        <w:tab/>
      </w:r>
      <w:r w:rsidRPr="00581E66">
        <w:rPr>
          <w:sz w:val="24"/>
          <w:szCs w:val="24"/>
        </w:rPr>
        <w:tab/>
      </w:r>
      <w:r w:rsidR="002B5049">
        <w:rPr>
          <w:sz w:val="24"/>
          <w:szCs w:val="24"/>
        </w:rPr>
        <w:t xml:space="preserve">        </w:t>
      </w:r>
      <w:r w:rsidRPr="00581E66">
        <w:rPr>
          <w:sz w:val="24"/>
          <w:szCs w:val="24"/>
        </w:rPr>
        <w:t xml:space="preserve">       4,000</w:t>
      </w:r>
    </w:p>
    <w:p w:rsidR="00581E66" w:rsidRPr="00581E66" w:rsidRDefault="00581E66" w:rsidP="00581E66">
      <w:pPr>
        <w:rPr>
          <w:sz w:val="24"/>
          <w:szCs w:val="24"/>
        </w:rPr>
      </w:pPr>
      <w:r w:rsidRPr="00581E66">
        <w:rPr>
          <w:sz w:val="24"/>
          <w:szCs w:val="24"/>
        </w:rPr>
        <w:tab/>
      </w:r>
      <w:r w:rsidRPr="00581E66">
        <w:rPr>
          <w:sz w:val="24"/>
          <w:szCs w:val="24"/>
        </w:rPr>
        <w:tab/>
      </w:r>
      <w:r w:rsidRPr="00581E66">
        <w:rPr>
          <w:sz w:val="24"/>
          <w:szCs w:val="24"/>
        </w:rPr>
        <w:tab/>
      </w:r>
      <w:r w:rsidRPr="00581E66">
        <w:rPr>
          <w:sz w:val="24"/>
          <w:szCs w:val="24"/>
        </w:rPr>
        <w:tab/>
      </w:r>
      <w:r w:rsidRPr="00581E66">
        <w:rPr>
          <w:sz w:val="24"/>
          <w:szCs w:val="24"/>
        </w:rPr>
        <w:tab/>
      </w:r>
      <w:r w:rsidRPr="00581E66">
        <w:rPr>
          <w:sz w:val="24"/>
          <w:szCs w:val="24"/>
        </w:rPr>
        <w:tab/>
        <w:t xml:space="preserve">Retained earnings </w:t>
      </w:r>
      <w:r w:rsidRPr="00581E66">
        <w:rPr>
          <w:sz w:val="24"/>
          <w:szCs w:val="24"/>
        </w:rPr>
        <w:tab/>
        <w:t xml:space="preserve">   </w:t>
      </w:r>
      <w:r w:rsidR="002B5049">
        <w:rPr>
          <w:sz w:val="24"/>
          <w:szCs w:val="24"/>
        </w:rPr>
        <w:t xml:space="preserve">        </w:t>
      </w:r>
      <w:r w:rsidRPr="00581E66">
        <w:rPr>
          <w:sz w:val="24"/>
          <w:szCs w:val="24"/>
        </w:rPr>
        <w:t xml:space="preserve">  </w:t>
      </w:r>
      <w:r w:rsidRPr="00581E66">
        <w:rPr>
          <w:sz w:val="24"/>
          <w:szCs w:val="24"/>
          <w:u w:val="single"/>
        </w:rPr>
        <w:t>12,000</w:t>
      </w:r>
    </w:p>
    <w:p w:rsidR="00581E66" w:rsidRPr="00581E66" w:rsidRDefault="00581E66" w:rsidP="00581E66">
      <w:pPr>
        <w:rPr>
          <w:sz w:val="24"/>
          <w:szCs w:val="24"/>
        </w:rPr>
      </w:pPr>
      <w:r w:rsidRPr="00581E66">
        <w:rPr>
          <w:sz w:val="24"/>
          <w:szCs w:val="24"/>
        </w:rPr>
        <w:tab/>
      </w:r>
      <w:r w:rsidRPr="00581E66">
        <w:rPr>
          <w:sz w:val="24"/>
          <w:szCs w:val="24"/>
        </w:rPr>
        <w:tab/>
      </w:r>
      <w:r w:rsidRPr="00581E66">
        <w:rPr>
          <w:sz w:val="24"/>
          <w:szCs w:val="24"/>
        </w:rPr>
        <w:tab/>
      </w:r>
      <w:r w:rsidRPr="00581E66">
        <w:rPr>
          <w:sz w:val="24"/>
          <w:szCs w:val="24"/>
        </w:rPr>
        <w:tab/>
      </w:r>
      <w:r w:rsidRPr="00581E66">
        <w:rPr>
          <w:sz w:val="24"/>
          <w:szCs w:val="24"/>
        </w:rPr>
        <w:tab/>
      </w:r>
      <w:r w:rsidRPr="00581E66">
        <w:rPr>
          <w:sz w:val="24"/>
          <w:szCs w:val="24"/>
        </w:rPr>
        <w:tab/>
        <w:t>Total liabilities and equity   $183,000</w:t>
      </w:r>
    </w:p>
    <w:p w:rsidR="00581E66" w:rsidRPr="00581E66" w:rsidRDefault="00581E66" w:rsidP="00581E66">
      <w:pPr>
        <w:rPr>
          <w:sz w:val="24"/>
          <w:szCs w:val="24"/>
        </w:rPr>
      </w:pPr>
      <w:r w:rsidRPr="00581E66">
        <w:rPr>
          <w:b/>
          <w:bCs/>
          <w:sz w:val="24"/>
          <w:szCs w:val="24"/>
        </w:rPr>
        <w:tab/>
      </w:r>
      <w:r w:rsidRPr="00581E66">
        <w:rPr>
          <w:b/>
          <w:bCs/>
          <w:sz w:val="24"/>
          <w:szCs w:val="24"/>
        </w:rPr>
        <w:tab/>
      </w:r>
      <w:r w:rsidRPr="00581E66">
        <w:rPr>
          <w:b/>
          <w:bCs/>
          <w:sz w:val="24"/>
          <w:szCs w:val="24"/>
        </w:rPr>
        <w:tab/>
      </w:r>
      <w:r w:rsidRPr="00581E66">
        <w:rPr>
          <w:bCs/>
          <w:sz w:val="24"/>
          <w:szCs w:val="24"/>
        </w:rPr>
        <w:t>Income Statement</w:t>
      </w:r>
      <w:r w:rsidRPr="00581E66">
        <w:rPr>
          <w:sz w:val="24"/>
          <w:szCs w:val="24"/>
        </w:rPr>
        <w:tab/>
      </w:r>
      <w:r w:rsidRPr="00581E66">
        <w:rPr>
          <w:sz w:val="24"/>
          <w:szCs w:val="24"/>
        </w:rPr>
        <w:tab/>
      </w:r>
      <w:r w:rsidRPr="00581E66">
        <w:rPr>
          <w:sz w:val="24"/>
          <w:szCs w:val="24"/>
        </w:rPr>
        <w:tab/>
      </w:r>
      <w:r w:rsidRPr="00581E66">
        <w:rPr>
          <w:sz w:val="24"/>
          <w:szCs w:val="24"/>
        </w:rPr>
        <w:tab/>
      </w:r>
      <w:r w:rsidRPr="00581E66">
        <w:rPr>
          <w:sz w:val="24"/>
          <w:szCs w:val="24"/>
        </w:rPr>
        <w:tab/>
      </w:r>
      <w:r w:rsidRPr="00581E66">
        <w:rPr>
          <w:sz w:val="24"/>
          <w:szCs w:val="24"/>
        </w:rPr>
        <w:tab/>
      </w:r>
    </w:p>
    <w:p w:rsidR="00581E66" w:rsidRPr="00581E66" w:rsidRDefault="00581E66" w:rsidP="00581E66">
      <w:pPr>
        <w:rPr>
          <w:sz w:val="24"/>
          <w:szCs w:val="24"/>
        </w:rPr>
      </w:pPr>
      <w:r w:rsidRPr="00581E66">
        <w:rPr>
          <w:sz w:val="24"/>
          <w:szCs w:val="24"/>
        </w:rPr>
        <w:tab/>
      </w:r>
    </w:p>
    <w:p w:rsidR="00581E66" w:rsidRPr="00581E66" w:rsidRDefault="00581E66" w:rsidP="00581E66">
      <w:pPr>
        <w:rPr>
          <w:sz w:val="24"/>
          <w:szCs w:val="24"/>
        </w:rPr>
      </w:pPr>
      <w:r w:rsidRPr="00581E66">
        <w:rPr>
          <w:sz w:val="24"/>
          <w:szCs w:val="24"/>
        </w:rPr>
        <w:tab/>
        <w:t>Interest on fees and loans</w:t>
      </w:r>
      <w:r w:rsidRPr="00581E66">
        <w:rPr>
          <w:sz w:val="24"/>
          <w:szCs w:val="24"/>
        </w:rPr>
        <w:tab/>
      </w:r>
      <w:r w:rsidRPr="00581E66">
        <w:rPr>
          <w:sz w:val="24"/>
          <w:szCs w:val="24"/>
        </w:rPr>
        <w:tab/>
        <w:t xml:space="preserve">  $9,000</w:t>
      </w:r>
    </w:p>
    <w:p w:rsidR="00581E66" w:rsidRPr="00581E66" w:rsidRDefault="00581E66" w:rsidP="00581E66">
      <w:pPr>
        <w:rPr>
          <w:sz w:val="24"/>
          <w:szCs w:val="24"/>
        </w:rPr>
      </w:pPr>
      <w:r w:rsidRPr="00581E66">
        <w:rPr>
          <w:sz w:val="24"/>
          <w:szCs w:val="24"/>
        </w:rPr>
        <w:tab/>
        <w:t>Interest on investment securities</w:t>
      </w:r>
      <w:r w:rsidRPr="00581E66">
        <w:rPr>
          <w:sz w:val="24"/>
          <w:szCs w:val="24"/>
        </w:rPr>
        <w:tab/>
        <w:t xml:space="preserve">    4,000</w:t>
      </w:r>
      <w:r w:rsidRPr="00581E66">
        <w:rPr>
          <w:sz w:val="24"/>
          <w:szCs w:val="24"/>
        </w:rPr>
        <w:tab/>
      </w:r>
    </w:p>
    <w:p w:rsidR="00581E66" w:rsidRPr="00581E66" w:rsidRDefault="00581E66" w:rsidP="00581E66">
      <w:pPr>
        <w:rPr>
          <w:sz w:val="24"/>
          <w:szCs w:val="24"/>
        </w:rPr>
      </w:pPr>
      <w:r w:rsidRPr="00581E66">
        <w:rPr>
          <w:sz w:val="24"/>
          <w:szCs w:val="24"/>
        </w:rPr>
        <w:tab/>
        <w:t>Interest on repurchase agreements</w:t>
      </w:r>
      <w:r w:rsidRPr="00581E66">
        <w:rPr>
          <w:sz w:val="24"/>
          <w:szCs w:val="24"/>
        </w:rPr>
        <w:tab/>
        <w:t xml:space="preserve">    6,000</w:t>
      </w:r>
    </w:p>
    <w:p w:rsidR="00581E66" w:rsidRPr="00581E66" w:rsidRDefault="00581E66" w:rsidP="00581E66">
      <w:pPr>
        <w:rPr>
          <w:sz w:val="24"/>
          <w:szCs w:val="24"/>
        </w:rPr>
      </w:pPr>
      <w:r w:rsidRPr="00581E66">
        <w:rPr>
          <w:sz w:val="24"/>
          <w:szCs w:val="24"/>
        </w:rPr>
        <w:tab/>
        <w:t>Interest on deposits in banks</w:t>
      </w:r>
      <w:r w:rsidRPr="00581E66">
        <w:rPr>
          <w:sz w:val="24"/>
          <w:szCs w:val="24"/>
        </w:rPr>
        <w:tab/>
        <w:t xml:space="preserve">   </w:t>
      </w:r>
      <w:r w:rsidR="002B5049">
        <w:rPr>
          <w:sz w:val="24"/>
          <w:szCs w:val="24"/>
        </w:rPr>
        <w:t xml:space="preserve">            </w:t>
      </w:r>
      <w:r w:rsidRPr="00581E66">
        <w:rPr>
          <w:sz w:val="24"/>
          <w:szCs w:val="24"/>
        </w:rPr>
        <w:t xml:space="preserve"> </w:t>
      </w:r>
      <w:r w:rsidRPr="00581E66">
        <w:rPr>
          <w:sz w:val="24"/>
          <w:szCs w:val="24"/>
          <w:u w:val="single"/>
        </w:rPr>
        <w:t>1,000</w:t>
      </w:r>
    </w:p>
    <w:p w:rsidR="00581E66" w:rsidRPr="00581E66" w:rsidRDefault="00581E66" w:rsidP="00581E66">
      <w:pPr>
        <w:rPr>
          <w:sz w:val="24"/>
          <w:szCs w:val="24"/>
        </w:rPr>
      </w:pPr>
      <w:r w:rsidRPr="00581E66">
        <w:rPr>
          <w:sz w:val="24"/>
          <w:szCs w:val="24"/>
        </w:rPr>
        <w:tab/>
        <w:t>Total interest income</w:t>
      </w:r>
      <w:r w:rsidRPr="00581E66">
        <w:rPr>
          <w:sz w:val="24"/>
          <w:szCs w:val="24"/>
        </w:rPr>
        <w:tab/>
        <w:t xml:space="preserve">             </w:t>
      </w:r>
      <w:r w:rsidR="002B5049">
        <w:rPr>
          <w:sz w:val="24"/>
          <w:szCs w:val="24"/>
        </w:rPr>
        <w:t xml:space="preserve">         </w:t>
      </w:r>
      <w:r w:rsidRPr="00581E66">
        <w:rPr>
          <w:sz w:val="24"/>
          <w:szCs w:val="24"/>
        </w:rPr>
        <w:t xml:space="preserve">  $20,000</w:t>
      </w:r>
    </w:p>
    <w:p w:rsidR="00581E66" w:rsidRPr="00581E66" w:rsidRDefault="00581E66" w:rsidP="00581E66">
      <w:pPr>
        <w:rPr>
          <w:sz w:val="24"/>
          <w:szCs w:val="24"/>
        </w:rPr>
      </w:pPr>
      <w:r w:rsidRPr="00581E66">
        <w:rPr>
          <w:sz w:val="24"/>
          <w:szCs w:val="24"/>
        </w:rPr>
        <w:tab/>
        <w:t>Interest on deposits</w:t>
      </w:r>
      <w:r w:rsidRPr="00581E66">
        <w:rPr>
          <w:sz w:val="24"/>
          <w:szCs w:val="24"/>
        </w:rPr>
        <w:tab/>
      </w:r>
      <w:r w:rsidRPr="00581E66">
        <w:rPr>
          <w:sz w:val="24"/>
          <w:szCs w:val="24"/>
        </w:rPr>
        <w:tab/>
        <w:t xml:space="preserve"> </w:t>
      </w:r>
      <w:r w:rsidR="002B5049">
        <w:rPr>
          <w:sz w:val="24"/>
          <w:szCs w:val="24"/>
        </w:rPr>
        <w:t xml:space="preserve">            </w:t>
      </w:r>
      <w:r w:rsidRPr="00581E66">
        <w:rPr>
          <w:sz w:val="24"/>
          <w:szCs w:val="24"/>
        </w:rPr>
        <w:t xml:space="preserve">   9,000</w:t>
      </w:r>
    </w:p>
    <w:p w:rsidR="00581E66" w:rsidRPr="00581E66" w:rsidRDefault="00581E66" w:rsidP="00581E66">
      <w:pPr>
        <w:rPr>
          <w:sz w:val="24"/>
          <w:szCs w:val="24"/>
        </w:rPr>
      </w:pPr>
      <w:r w:rsidRPr="00581E66">
        <w:rPr>
          <w:sz w:val="24"/>
          <w:szCs w:val="24"/>
        </w:rPr>
        <w:tab/>
        <w:t>Interest on debentures</w:t>
      </w:r>
      <w:r w:rsidRPr="00581E66">
        <w:rPr>
          <w:sz w:val="24"/>
          <w:szCs w:val="24"/>
        </w:rPr>
        <w:tab/>
      </w:r>
      <w:r w:rsidRPr="00581E66">
        <w:rPr>
          <w:sz w:val="24"/>
          <w:szCs w:val="24"/>
        </w:rPr>
        <w:tab/>
      </w:r>
      <w:r w:rsidR="002B5049">
        <w:rPr>
          <w:sz w:val="24"/>
          <w:szCs w:val="24"/>
        </w:rPr>
        <w:t xml:space="preserve">            </w:t>
      </w:r>
      <w:r w:rsidRPr="00581E66">
        <w:rPr>
          <w:sz w:val="24"/>
          <w:szCs w:val="24"/>
        </w:rPr>
        <w:t xml:space="preserve">    </w:t>
      </w:r>
      <w:r w:rsidRPr="00581E66">
        <w:rPr>
          <w:sz w:val="24"/>
          <w:szCs w:val="24"/>
          <w:u w:val="single"/>
        </w:rPr>
        <w:t>2,000</w:t>
      </w:r>
    </w:p>
    <w:p w:rsidR="00581E66" w:rsidRPr="00581E66" w:rsidRDefault="00581E66" w:rsidP="00581E66">
      <w:pPr>
        <w:rPr>
          <w:sz w:val="24"/>
          <w:szCs w:val="24"/>
        </w:rPr>
      </w:pPr>
      <w:r w:rsidRPr="00581E66">
        <w:rPr>
          <w:sz w:val="24"/>
          <w:szCs w:val="24"/>
        </w:rPr>
        <w:tab/>
        <w:t>Total interest expense</w:t>
      </w:r>
      <w:r w:rsidRPr="00581E66">
        <w:rPr>
          <w:sz w:val="24"/>
          <w:szCs w:val="24"/>
        </w:rPr>
        <w:tab/>
        <w:t xml:space="preserve">         </w:t>
      </w:r>
      <w:r w:rsidR="002B5049">
        <w:rPr>
          <w:sz w:val="24"/>
          <w:szCs w:val="24"/>
        </w:rPr>
        <w:t xml:space="preserve">          </w:t>
      </w:r>
      <w:r w:rsidRPr="00581E66">
        <w:rPr>
          <w:sz w:val="24"/>
          <w:szCs w:val="24"/>
        </w:rPr>
        <w:t xml:space="preserve">     $11,000</w:t>
      </w:r>
    </w:p>
    <w:p w:rsidR="00581E66" w:rsidRPr="00581E66" w:rsidRDefault="00581E66" w:rsidP="00581E66">
      <w:pPr>
        <w:rPr>
          <w:sz w:val="24"/>
          <w:szCs w:val="24"/>
        </w:rPr>
      </w:pPr>
    </w:p>
    <w:p w:rsidR="00581E66" w:rsidRPr="00581E66" w:rsidRDefault="00581E66" w:rsidP="00581E66">
      <w:pPr>
        <w:rPr>
          <w:sz w:val="24"/>
          <w:szCs w:val="24"/>
        </w:rPr>
      </w:pPr>
      <w:r w:rsidRPr="00581E66">
        <w:rPr>
          <w:sz w:val="24"/>
          <w:szCs w:val="24"/>
        </w:rPr>
        <w:tab/>
        <w:t>Operating income</w:t>
      </w:r>
      <w:r w:rsidRPr="00581E66">
        <w:rPr>
          <w:sz w:val="24"/>
          <w:szCs w:val="24"/>
        </w:rPr>
        <w:tab/>
      </w:r>
      <w:r w:rsidRPr="00581E66">
        <w:rPr>
          <w:sz w:val="24"/>
          <w:szCs w:val="24"/>
        </w:rPr>
        <w:tab/>
      </w:r>
      <w:r w:rsidRPr="00581E66">
        <w:rPr>
          <w:sz w:val="24"/>
          <w:szCs w:val="24"/>
        </w:rPr>
        <w:tab/>
        <w:t xml:space="preserve">  $9,000</w:t>
      </w:r>
    </w:p>
    <w:p w:rsidR="00581E66" w:rsidRPr="00581E66" w:rsidRDefault="00581E66" w:rsidP="00581E66">
      <w:pPr>
        <w:rPr>
          <w:sz w:val="24"/>
          <w:szCs w:val="24"/>
        </w:rPr>
      </w:pPr>
      <w:r w:rsidRPr="00581E66">
        <w:rPr>
          <w:sz w:val="24"/>
          <w:szCs w:val="24"/>
        </w:rPr>
        <w:tab/>
        <w:t>Provision for loan losses</w:t>
      </w:r>
      <w:r w:rsidRPr="00581E66">
        <w:rPr>
          <w:sz w:val="24"/>
          <w:szCs w:val="24"/>
        </w:rPr>
        <w:tab/>
      </w:r>
      <w:r w:rsidRPr="00581E66">
        <w:rPr>
          <w:sz w:val="24"/>
          <w:szCs w:val="24"/>
        </w:rPr>
        <w:tab/>
        <w:t xml:space="preserve">    2,000</w:t>
      </w:r>
      <w:r w:rsidRPr="00581E66">
        <w:rPr>
          <w:sz w:val="24"/>
          <w:szCs w:val="24"/>
        </w:rPr>
        <w:tab/>
      </w:r>
    </w:p>
    <w:p w:rsidR="00581E66" w:rsidRPr="00581E66" w:rsidRDefault="00581E66" w:rsidP="00581E66">
      <w:pPr>
        <w:rPr>
          <w:sz w:val="24"/>
          <w:szCs w:val="24"/>
        </w:rPr>
      </w:pPr>
      <w:r w:rsidRPr="00581E66">
        <w:rPr>
          <w:sz w:val="24"/>
          <w:szCs w:val="24"/>
        </w:rPr>
        <w:tab/>
        <w:t>Other income</w:t>
      </w:r>
      <w:r w:rsidRPr="00581E66">
        <w:rPr>
          <w:sz w:val="24"/>
          <w:szCs w:val="24"/>
        </w:rPr>
        <w:tab/>
      </w:r>
      <w:r w:rsidRPr="00581E66">
        <w:rPr>
          <w:sz w:val="24"/>
          <w:szCs w:val="24"/>
        </w:rPr>
        <w:tab/>
      </w:r>
      <w:r w:rsidRPr="00581E66">
        <w:rPr>
          <w:sz w:val="24"/>
          <w:szCs w:val="24"/>
        </w:rPr>
        <w:tab/>
        <w:t xml:space="preserve">  </w:t>
      </w:r>
      <w:r w:rsidR="002B5049">
        <w:rPr>
          <w:sz w:val="24"/>
          <w:szCs w:val="24"/>
        </w:rPr>
        <w:t xml:space="preserve">            </w:t>
      </w:r>
      <w:r w:rsidRPr="00581E66">
        <w:rPr>
          <w:sz w:val="24"/>
          <w:szCs w:val="24"/>
        </w:rPr>
        <w:t xml:space="preserve">  2,000</w:t>
      </w:r>
    </w:p>
    <w:p w:rsidR="00581E66" w:rsidRPr="00581E66" w:rsidRDefault="00581E66" w:rsidP="00581E66">
      <w:pPr>
        <w:rPr>
          <w:sz w:val="24"/>
          <w:szCs w:val="24"/>
        </w:rPr>
      </w:pPr>
      <w:r w:rsidRPr="00581E66">
        <w:rPr>
          <w:sz w:val="24"/>
          <w:szCs w:val="24"/>
        </w:rPr>
        <w:tab/>
        <w:t>Other expenses</w:t>
      </w:r>
      <w:r w:rsidRPr="00581E66">
        <w:rPr>
          <w:sz w:val="24"/>
          <w:szCs w:val="24"/>
        </w:rPr>
        <w:tab/>
      </w:r>
      <w:r w:rsidRPr="00581E66">
        <w:rPr>
          <w:sz w:val="24"/>
          <w:szCs w:val="24"/>
        </w:rPr>
        <w:tab/>
      </w:r>
      <w:r w:rsidRPr="00581E66">
        <w:rPr>
          <w:sz w:val="24"/>
          <w:szCs w:val="24"/>
        </w:rPr>
        <w:tab/>
        <w:t xml:space="preserve">   </w:t>
      </w:r>
      <w:r w:rsidRPr="00581E66">
        <w:rPr>
          <w:sz w:val="24"/>
          <w:szCs w:val="24"/>
          <w:u w:val="single"/>
        </w:rPr>
        <w:t xml:space="preserve"> 1,000</w:t>
      </w:r>
    </w:p>
    <w:p w:rsidR="00581E66" w:rsidRPr="00581E66" w:rsidRDefault="00581E66" w:rsidP="00581E66">
      <w:pPr>
        <w:rPr>
          <w:sz w:val="24"/>
          <w:szCs w:val="24"/>
        </w:rPr>
      </w:pPr>
      <w:r w:rsidRPr="00581E66">
        <w:rPr>
          <w:sz w:val="24"/>
          <w:szCs w:val="24"/>
        </w:rPr>
        <w:tab/>
        <w:t>Income before taxes</w:t>
      </w:r>
      <w:r w:rsidRPr="00581E66">
        <w:rPr>
          <w:sz w:val="24"/>
          <w:szCs w:val="24"/>
        </w:rPr>
        <w:tab/>
      </w:r>
      <w:r w:rsidRPr="00581E66">
        <w:rPr>
          <w:sz w:val="24"/>
          <w:szCs w:val="24"/>
        </w:rPr>
        <w:tab/>
      </w:r>
      <w:r w:rsidR="002B5049">
        <w:rPr>
          <w:sz w:val="24"/>
          <w:szCs w:val="24"/>
        </w:rPr>
        <w:t xml:space="preserve">            </w:t>
      </w:r>
      <w:r w:rsidRPr="00581E66">
        <w:rPr>
          <w:sz w:val="24"/>
          <w:szCs w:val="24"/>
        </w:rPr>
        <w:t xml:space="preserve">  $8,000</w:t>
      </w:r>
    </w:p>
    <w:p w:rsidR="00581E66" w:rsidRPr="00581E66" w:rsidRDefault="00581E66" w:rsidP="00581E66">
      <w:pPr>
        <w:rPr>
          <w:sz w:val="24"/>
          <w:szCs w:val="24"/>
        </w:rPr>
      </w:pPr>
      <w:r w:rsidRPr="00581E66">
        <w:rPr>
          <w:sz w:val="24"/>
          <w:szCs w:val="24"/>
        </w:rPr>
        <w:tab/>
        <w:t>Taxes</w:t>
      </w:r>
      <w:r w:rsidRPr="00581E66">
        <w:rPr>
          <w:sz w:val="24"/>
          <w:szCs w:val="24"/>
        </w:rPr>
        <w:tab/>
      </w:r>
      <w:r w:rsidRPr="00581E66">
        <w:rPr>
          <w:sz w:val="24"/>
          <w:szCs w:val="24"/>
        </w:rPr>
        <w:tab/>
      </w:r>
      <w:r w:rsidRPr="00581E66">
        <w:rPr>
          <w:sz w:val="24"/>
          <w:szCs w:val="24"/>
        </w:rPr>
        <w:tab/>
      </w:r>
      <w:r w:rsidRPr="00581E66">
        <w:rPr>
          <w:sz w:val="24"/>
          <w:szCs w:val="24"/>
        </w:rPr>
        <w:tab/>
      </w:r>
      <w:r w:rsidR="002B5049">
        <w:rPr>
          <w:sz w:val="24"/>
          <w:szCs w:val="24"/>
        </w:rPr>
        <w:t xml:space="preserve">            </w:t>
      </w:r>
      <w:r w:rsidRPr="00581E66">
        <w:rPr>
          <w:sz w:val="24"/>
          <w:szCs w:val="24"/>
        </w:rPr>
        <w:t xml:space="preserve">  </w:t>
      </w:r>
      <w:r w:rsidRPr="00581E66">
        <w:rPr>
          <w:sz w:val="24"/>
          <w:szCs w:val="24"/>
          <w:u w:val="single"/>
        </w:rPr>
        <w:t xml:space="preserve">  3,000</w:t>
      </w:r>
    </w:p>
    <w:p w:rsidR="00581E66" w:rsidRPr="00581E66" w:rsidRDefault="00581E66" w:rsidP="00581E66">
      <w:pPr>
        <w:rPr>
          <w:sz w:val="24"/>
          <w:szCs w:val="24"/>
        </w:rPr>
      </w:pPr>
      <w:r w:rsidRPr="00581E66">
        <w:rPr>
          <w:sz w:val="24"/>
          <w:szCs w:val="24"/>
        </w:rPr>
        <w:tab/>
        <w:t>Net income</w:t>
      </w:r>
      <w:r w:rsidRPr="00581E66">
        <w:rPr>
          <w:sz w:val="24"/>
          <w:szCs w:val="24"/>
        </w:rPr>
        <w:tab/>
      </w:r>
      <w:r w:rsidRPr="00581E66">
        <w:rPr>
          <w:sz w:val="24"/>
          <w:szCs w:val="24"/>
        </w:rPr>
        <w:tab/>
        <w:t xml:space="preserve">             </w:t>
      </w:r>
      <w:r w:rsidR="002B5049">
        <w:rPr>
          <w:sz w:val="24"/>
          <w:szCs w:val="24"/>
        </w:rPr>
        <w:t xml:space="preserve">           </w:t>
      </w:r>
      <w:r w:rsidRPr="00581E66">
        <w:rPr>
          <w:sz w:val="24"/>
          <w:szCs w:val="24"/>
        </w:rPr>
        <w:t xml:space="preserve">  $5,000</w:t>
      </w:r>
    </w:p>
    <w:p w:rsidR="00581E66" w:rsidRPr="00581E66" w:rsidRDefault="00581E66" w:rsidP="00581E66">
      <w:pPr>
        <w:rPr>
          <w:sz w:val="24"/>
          <w:szCs w:val="24"/>
        </w:rPr>
      </w:pPr>
    </w:p>
    <w:p w:rsidR="00581E66" w:rsidRPr="00581E66" w:rsidRDefault="009707D8" w:rsidP="00581E66">
      <w:pPr>
        <w:rPr>
          <w:sz w:val="24"/>
          <w:szCs w:val="24"/>
        </w:rPr>
      </w:pPr>
      <w:r>
        <w:rPr>
          <w:sz w:val="24"/>
          <w:szCs w:val="24"/>
        </w:rPr>
        <w:tab/>
      </w:r>
      <w:r w:rsidR="00581E66" w:rsidRPr="00581E66">
        <w:rPr>
          <w:sz w:val="24"/>
          <w:szCs w:val="24"/>
        </w:rPr>
        <w:t>For Megalopolis, calculate:</w:t>
      </w:r>
    </w:p>
    <w:p w:rsidR="00581E66" w:rsidRPr="00581E66" w:rsidRDefault="00581E66" w:rsidP="00581E66">
      <w:pPr>
        <w:rPr>
          <w:sz w:val="24"/>
          <w:szCs w:val="24"/>
        </w:rPr>
      </w:pPr>
      <w:r w:rsidRPr="00581E66">
        <w:rPr>
          <w:sz w:val="24"/>
          <w:szCs w:val="24"/>
        </w:rPr>
        <w:tab/>
      </w:r>
    </w:p>
    <w:p w:rsidR="00581E66" w:rsidRDefault="009707D8" w:rsidP="00581E66">
      <w:pPr>
        <w:rPr>
          <w:sz w:val="24"/>
          <w:szCs w:val="24"/>
        </w:rPr>
      </w:pPr>
      <w:r>
        <w:rPr>
          <w:sz w:val="24"/>
          <w:szCs w:val="24"/>
        </w:rPr>
        <w:tab/>
      </w:r>
      <w:r w:rsidR="00581E66" w:rsidRPr="00581E66">
        <w:rPr>
          <w:sz w:val="24"/>
          <w:szCs w:val="24"/>
        </w:rPr>
        <w:t>a. Return on equity</w:t>
      </w:r>
    </w:p>
    <w:p w:rsidR="009707D8" w:rsidRDefault="009707D8" w:rsidP="00581E66">
      <w:pPr>
        <w:rPr>
          <w:sz w:val="24"/>
          <w:szCs w:val="24"/>
        </w:rPr>
      </w:pPr>
    </w:p>
    <w:p w:rsidR="009707D8" w:rsidRPr="00694615" w:rsidRDefault="009707D8" w:rsidP="009707D8">
      <w:pPr>
        <w:ind w:right="180"/>
        <w:rPr>
          <w:sz w:val="24"/>
          <w:szCs w:val="24"/>
        </w:rPr>
      </w:pPr>
      <w:r>
        <w:rPr>
          <w:sz w:val="24"/>
          <w:szCs w:val="24"/>
        </w:rPr>
        <w:t>R</w:t>
      </w:r>
      <w:r w:rsidRPr="00694615">
        <w:rPr>
          <w:sz w:val="24"/>
          <w:szCs w:val="24"/>
        </w:rPr>
        <w:t>eturn on equity = 5,000</w:t>
      </w:r>
      <w:r>
        <w:rPr>
          <w:sz w:val="24"/>
          <w:szCs w:val="24"/>
        </w:rPr>
        <w:t>m</w:t>
      </w:r>
      <w:r w:rsidRPr="00694615">
        <w:rPr>
          <w:sz w:val="24"/>
          <w:szCs w:val="24"/>
        </w:rPr>
        <w:t>/28,000</w:t>
      </w:r>
      <w:r>
        <w:rPr>
          <w:sz w:val="24"/>
          <w:szCs w:val="24"/>
        </w:rPr>
        <w:t>m</w:t>
      </w:r>
      <w:r w:rsidRPr="00694615">
        <w:rPr>
          <w:sz w:val="24"/>
          <w:szCs w:val="24"/>
        </w:rPr>
        <w:t xml:space="preserve"> = 17.86%</w:t>
      </w:r>
    </w:p>
    <w:p w:rsidR="009707D8" w:rsidRPr="00581E66" w:rsidRDefault="009707D8" w:rsidP="00581E66">
      <w:pPr>
        <w:rPr>
          <w:sz w:val="24"/>
          <w:szCs w:val="24"/>
        </w:rPr>
      </w:pPr>
    </w:p>
    <w:p w:rsidR="00581E66" w:rsidRDefault="009707D8" w:rsidP="00581E66">
      <w:pPr>
        <w:rPr>
          <w:sz w:val="24"/>
          <w:szCs w:val="24"/>
        </w:rPr>
      </w:pPr>
      <w:r>
        <w:rPr>
          <w:sz w:val="24"/>
          <w:szCs w:val="24"/>
        </w:rPr>
        <w:tab/>
      </w:r>
      <w:r w:rsidR="00581E66" w:rsidRPr="00581E66">
        <w:rPr>
          <w:sz w:val="24"/>
          <w:szCs w:val="24"/>
        </w:rPr>
        <w:t>b. Return on assets</w:t>
      </w:r>
    </w:p>
    <w:p w:rsidR="009707D8" w:rsidRDefault="009707D8" w:rsidP="00581E66">
      <w:pPr>
        <w:rPr>
          <w:sz w:val="24"/>
          <w:szCs w:val="24"/>
        </w:rPr>
      </w:pPr>
    </w:p>
    <w:p w:rsidR="009707D8" w:rsidRDefault="009707D8" w:rsidP="00581E66">
      <w:pPr>
        <w:rPr>
          <w:sz w:val="24"/>
          <w:szCs w:val="24"/>
        </w:rPr>
      </w:pPr>
      <w:r>
        <w:rPr>
          <w:sz w:val="24"/>
          <w:szCs w:val="24"/>
        </w:rPr>
        <w:t>R</w:t>
      </w:r>
      <w:r w:rsidRPr="00694615">
        <w:rPr>
          <w:sz w:val="24"/>
          <w:szCs w:val="24"/>
        </w:rPr>
        <w:t>eturn on assets = 5,000</w:t>
      </w:r>
      <w:r>
        <w:rPr>
          <w:sz w:val="24"/>
          <w:szCs w:val="24"/>
        </w:rPr>
        <w:t>m</w:t>
      </w:r>
      <w:r w:rsidRPr="00694615">
        <w:rPr>
          <w:sz w:val="24"/>
          <w:szCs w:val="24"/>
        </w:rPr>
        <w:t>/183,000</w:t>
      </w:r>
      <w:r>
        <w:rPr>
          <w:sz w:val="24"/>
          <w:szCs w:val="24"/>
        </w:rPr>
        <w:t>m</w:t>
      </w:r>
      <w:r w:rsidRPr="00694615">
        <w:rPr>
          <w:sz w:val="24"/>
          <w:szCs w:val="24"/>
        </w:rPr>
        <w:t xml:space="preserve"> = 2.73%</w:t>
      </w:r>
    </w:p>
    <w:p w:rsidR="008A1F5A" w:rsidRDefault="008A1F5A">
      <w:pPr>
        <w:rPr>
          <w:sz w:val="24"/>
          <w:szCs w:val="24"/>
        </w:rPr>
      </w:pPr>
      <w:r>
        <w:rPr>
          <w:sz w:val="24"/>
          <w:szCs w:val="24"/>
        </w:rPr>
        <w:br w:type="page"/>
      </w:r>
    </w:p>
    <w:p w:rsidR="009707D8" w:rsidRPr="00581E66" w:rsidRDefault="009707D8" w:rsidP="00581E66">
      <w:pPr>
        <w:rPr>
          <w:sz w:val="24"/>
          <w:szCs w:val="24"/>
        </w:rPr>
      </w:pPr>
    </w:p>
    <w:p w:rsidR="00581E66" w:rsidRDefault="009707D8" w:rsidP="00581E66">
      <w:pPr>
        <w:rPr>
          <w:sz w:val="24"/>
          <w:szCs w:val="24"/>
        </w:rPr>
      </w:pPr>
      <w:r>
        <w:rPr>
          <w:sz w:val="24"/>
          <w:szCs w:val="24"/>
        </w:rPr>
        <w:tab/>
      </w:r>
      <w:r w:rsidR="00581E66" w:rsidRPr="00581E66">
        <w:rPr>
          <w:sz w:val="24"/>
          <w:szCs w:val="24"/>
        </w:rPr>
        <w:t>c. Asset utilization</w:t>
      </w:r>
    </w:p>
    <w:p w:rsidR="009707D8" w:rsidRDefault="009707D8" w:rsidP="00581E66">
      <w:pPr>
        <w:rPr>
          <w:sz w:val="24"/>
          <w:szCs w:val="24"/>
        </w:rPr>
      </w:pPr>
    </w:p>
    <w:p w:rsidR="009707D8" w:rsidRDefault="009707D8" w:rsidP="00581E66">
      <w:pPr>
        <w:rPr>
          <w:sz w:val="24"/>
          <w:szCs w:val="24"/>
        </w:rPr>
      </w:pPr>
      <w:r>
        <w:rPr>
          <w:sz w:val="24"/>
          <w:szCs w:val="24"/>
        </w:rPr>
        <w:t>A</w:t>
      </w:r>
      <w:r w:rsidRPr="00694615">
        <w:rPr>
          <w:sz w:val="24"/>
          <w:szCs w:val="24"/>
        </w:rPr>
        <w:t>sset utilization = (20,000</w:t>
      </w:r>
      <w:r>
        <w:rPr>
          <w:sz w:val="24"/>
          <w:szCs w:val="24"/>
        </w:rPr>
        <w:t>m</w:t>
      </w:r>
      <w:r w:rsidRPr="00694615">
        <w:rPr>
          <w:sz w:val="24"/>
          <w:szCs w:val="24"/>
        </w:rPr>
        <w:t xml:space="preserve"> + 2,000</w:t>
      </w:r>
      <w:r>
        <w:rPr>
          <w:sz w:val="24"/>
          <w:szCs w:val="24"/>
        </w:rPr>
        <w:t>m</w:t>
      </w:r>
      <w:r w:rsidRPr="00694615">
        <w:rPr>
          <w:sz w:val="24"/>
          <w:szCs w:val="24"/>
        </w:rPr>
        <w:t>)/183,000</w:t>
      </w:r>
      <w:r>
        <w:rPr>
          <w:sz w:val="24"/>
          <w:szCs w:val="24"/>
        </w:rPr>
        <w:t>m</w:t>
      </w:r>
      <w:r w:rsidRPr="00694615">
        <w:rPr>
          <w:sz w:val="24"/>
          <w:szCs w:val="24"/>
        </w:rPr>
        <w:t xml:space="preserve"> = 12.02%</w:t>
      </w:r>
    </w:p>
    <w:p w:rsidR="009707D8" w:rsidRPr="00581E66" w:rsidRDefault="009707D8" w:rsidP="00581E66">
      <w:pPr>
        <w:rPr>
          <w:sz w:val="24"/>
          <w:szCs w:val="24"/>
        </w:rPr>
      </w:pPr>
    </w:p>
    <w:p w:rsidR="00581E66" w:rsidRDefault="009707D8" w:rsidP="00581E66">
      <w:pPr>
        <w:rPr>
          <w:sz w:val="24"/>
          <w:szCs w:val="24"/>
        </w:rPr>
      </w:pPr>
      <w:r>
        <w:rPr>
          <w:sz w:val="24"/>
          <w:szCs w:val="24"/>
        </w:rPr>
        <w:tab/>
      </w:r>
      <w:r w:rsidR="00581E66" w:rsidRPr="00581E66">
        <w:rPr>
          <w:sz w:val="24"/>
          <w:szCs w:val="24"/>
        </w:rPr>
        <w:t>d. Equity multiplier</w:t>
      </w:r>
    </w:p>
    <w:p w:rsidR="009707D8" w:rsidRDefault="009707D8" w:rsidP="00581E66">
      <w:pPr>
        <w:rPr>
          <w:sz w:val="24"/>
          <w:szCs w:val="24"/>
        </w:rPr>
      </w:pPr>
    </w:p>
    <w:p w:rsidR="009707D8" w:rsidRPr="00694615" w:rsidRDefault="009707D8" w:rsidP="009707D8">
      <w:pPr>
        <w:ind w:right="180"/>
        <w:rPr>
          <w:sz w:val="24"/>
          <w:szCs w:val="24"/>
        </w:rPr>
      </w:pPr>
      <w:r>
        <w:rPr>
          <w:sz w:val="24"/>
          <w:szCs w:val="24"/>
        </w:rPr>
        <w:t>E</w:t>
      </w:r>
      <w:r w:rsidRPr="00694615">
        <w:rPr>
          <w:sz w:val="24"/>
          <w:szCs w:val="24"/>
        </w:rPr>
        <w:t>quity multiplier = 183,000</w:t>
      </w:r>
      <w:r>
        <w:rPr>
          <w:sz w:val="24"/>
          <w:szCs w:val="24"/>
        </w:rPr>
        <w:t>m</w:t>
      </w:r>
      <w:proofErr w:type="gramStart"/>
      <w:r w:rsidRPr="00694615">
        <w:rPr>
          <w:sz w:val="24"/>
          <w:szCs w:val="24"/>
        </w:rPr>
        <w:t>/(</w:t>
      </w:r>
      <w:proofErr w:type="gramEnd"/>
      <w:r w:rsidRPr="00694615">
        <w:rPr>
          <w:sz w:val="24"/>
          <w:szCs w:val="24"/>
        </w:rPr>
        <w:t>12,000</w:t>
      </w:r>
      <w:r>
        <w:rPr>
          <w:sz w:val="24"/>
          <w:szCs w:val="24"/>
        </w:rPr>
        <w:t>m</w:t>
      </w:r>
      <w:r w:rsidRPr="00694615">
        <w:rPr>
          <w:sz w:val="24"/>
          <w:szCs w:val="24"/>
        </w:rPr>
        <w:t xml:space="preserve"> + 4,000</w:t>
      </w:r>
      <w:r>
        <w:rPr>
          <w:sz w:val="24"/>
          <w:szCs w:val="24"/>
        </w:rPr>
        <w:t>m</w:t>
      </w:r>
      <w:r w:rsidRPr="00694615">
        <w:rPr>
          <w:sz w:val="24"/>
          <w:szCs w:val="24"/>
        </w:rPr>
        <w:t xml:space="preserve"> + 12,000</w:t>
      </w:r>
      <w:r>
        <w:rPr>
          <w:sz w:val="24"/>
          <w:szCs w:val="24"/>
        </w:rPr>
        <w:t>m</w:t>
      </w:r>
      <w:r w:rsidRPr="00694615">
        <w:rPr>
          <w:sz w:val="24"/>
          <w:szCs w:val="24"/>
        </w:rPr>
        <w:t>) = 6.54X</w:t>
      </w:r>
    </w:p>
    <w:p w:rsidR="009707D8" w:rsidRPr="00581E66" w:rsidRDefault="009707D8" w:rsidP="00581E66">
      <w:pPr>
        <w:rPr>
          <w:sz w:val="24"/>
          <w:szCs w:val="24"/>
        </w:rPr>
      </w:pPr>
    </w:p>
    <w:p w:rsidR="00581E66" w:rsidRDefault="009707D8" w:rsidP="00581E66">
      <w:pPr>
        <w:rPr>
          <w:sz w:val="24"/>
          <w:szCs w:val="24"/>
        </w:rPr>
      </w:pPr>
      <w:r>
        <w:rPr>
          <w:sz w:val="24"/>
          <w:szCs w:val="24"/>
        </w:rPr>
        <w:tab/>
      </w:r>
      <w:r w:rsidR="00581E66" w:rsidRPr="00581E66">
        <w:rPr>
          <w:sz w:val="24"/>
          <w:szCs w:val="24"/>
        </w:rPr>
        <w:t>e. Profit margin</w:t>
      </w:r>
    </w:p>
    <w:p w:rsidR="00393AA6" w:rsidRDefault="00393AA6" w:rsidP="00581E66">
      <w:pPr>
        <w:rPr>
          <w:sz w:val="24"/>
          <w:szCs w:val="24"/>
        </w:rPr>
      </w:pPr>
    </w:p>
    <w:p w:rsidR="00393AA6" w:rsidRDefault="00393AA6" w:rsidP="00581E66">
      <w:pPr>
        <w:rPr>
          <w:sz w:val="24"/>
          <w:szCs w:val="24"/>
        </w:rPr>
      </w:pPr>
      <w:r>
        <w:rPr>
          <w:sz w:val="24"/>
          <w:szCs w:val="24"/>
        </w:rPr>
        <w:t>P</w:t>
      </w:r>
      <w:r w:rsidRPr="00694615">
        <w:rPr>
          <w:sz w:val="24"/>
          <w:szCs w:val="24"/>
        </w:rPr>
        <w:t>rofit margin = 5,000</w:t>
      </w:r>
      <w:r>
        <w:rPr>
          <w:sz w:val="24"/>
          <w:szCs w:val="24"/>
        </w:rPr>
        <w:t>m</w:t>
      </w:r>
      <w:proofErr w:type="gramStart"/>
      <w:r w:rsidRPr="00694615">
        <w:rPr>
          <w:sz w:val="24"/>
          <w:szCs w:val="24"/>
        </w:rPr>
        <w:t>/(</w:t>
      </w:r>
      <w:proofErr w:type="gramEnd"/>
      <w:r w:rsidRPr="00694615">
        <w:rPr>
          <w:sz w:val="24"/>
          <w:szCs w:val="24"/>
        </w:rPr>
        <w:t>20,000</w:t>
      </w:r>
      <w:r>
        <w:rPr>
          <w:sz w:val="24"/>
          <w:szCs w:val="24"/>
        </w:rPr>
        <w:t>m</w:t>
      </w:r>
      <w:r w:rsidRPr="00694615">
        <w:rPr>
          <w:sz w:val="24"/>
          <w:szCs w:val="24"/>
        </w:rPr>
        <w:t xml:space="preserve"> + 2,000</w:t>
      </w:r>
      <w:r>
        <w:rPr>
          <w:sz w:val="24"/>
          <w:szCs w:val="24"/>
        </w:rPr>
        <w:t>m</w:t>
      </w:r>
      <w:r w:rsidRPr="00694615">
        <w:rPr>
          <w:sz w:val="24"/>
          <w:szCs w:val="24"/>
        </w:rPr>
        <w:t>) = 22.73%</w:t>
      </w:r>
    </w:p>
    <w:p w:rsidR="00393AA6" w:rsidRPr="00581E66" w:rsidRDefault="00393AA6" w:rsidP="00581E66">
      <w:pPr>
        <w:rPr>
          <w:sz w:val="24"/>
          <w:szCs w:val="24"/>
        </w:rPr>
      </w:pPr>
    </w:p>
    <w:p w:rsidR="00581E66" w:rsidRDefault="009707D8" w:rsidP="00581E66">
      <w:pPr>
        <w:rPr>
          <w:sz w:val="24"/>
          <w:szCs w:val="24"/>
        </w:rPr>
      </w:pPr>
      <w:r>
        <w:rPr>
          <w:sz w:val="24"/>
          <w:szCs w:val="24"/>
        </w:rPr>
        <w:tab/>
      </w:r>
      <w:proofErr w:type="gramStart"/>
      <w:r w:rsidR="00581E66" w:rsidRPr="00581E66">
        <w:rPr>
          <w:sz w:val="24"/>
          <w:szCs w:val="24"/>
        </w:rPr>
        <w:t>f.  Interest</w:t>
      </w:r>
      <w:proofErr w:type="gramEnd"/>
      <w:r w:rsidR="00581E66" w:rsidRPr="00581E66">
        <w:rPr>
          <w:sz w:val="24"/>
          <w:szCs w:val="24"/>
        </w:rPr>
        <w:t xml:space="preserve"> expense ratio</w:t>
      </w:r>
      <w:r w:rsidR="00581E66" w:rsidRPr="00581E66">
        <w:rPr>
          <w:sz w:val="24"/>
          <w:szCs w:val="24"/>
        </w:rPr>
        <w:tab/>
      </w:r>
    </w:p>
    <w:p w:rsidR="00393AA6" w:rsidRDefault="00393AA6" w:rsidP="00581E66">
      <w:pPr>
        <w:rPr>
          <w:sz w:val="24"/>
          <w:szCs w:val="24"/>
        </w:rPr>
      </w:pPr>
    </w:p>
    <w:p w:rsidR="00393AA6" w:rsidRDefault="00393AA6" w:rsidP="00581E66">
      <w:pPr>
        <w:rPr>
          <w:sz w:val="24"/>
          <w:szCs w:val="24"/>
        </w:rPr>
      </w:pPr>
      <w:r>
        <w:rPr>
          <w:sz w:val="24"/>
          <w:szCs w:val="24"/>
        </w:rPr>
        <w:t>I</w:t>
      </w:r>
      <w:r w:rsidRPr="00694615">
        <w:rPr>
          <w:sz w:val="24"/>
          <w:szCs w:val="24"/>
        </w:rPr>
        <w:t>nterest expense ratio = 11,000</w:t>
      </w:r>
      <w:r>
        <w:rPr>
          <w:sz w:val="24"/>
          <w:szCs w:val="24"/>
        </w:rPr>
        <w:t>m</w:t>
      </w:r>
      <w:proofErr w:type="gramStart"/>
      <w:r w:rsidRPr="00694615">
        <w:rPr>
          <w:sz w:val="24"/>
          <w:szCs w:val="24"/>
        </w:rPr>
        <w:t>/(</w:t>
      </w:r>
      <w:proofErr w:type="gramEnd"/>
      <w:r w:rsidRPr="00694615">
        <w:rPr>
          <w:sz w:val="24"/>
          <w:szCs w:val="24"/>
        </w:rPr>
        <w:t>20,000</w:t>
      </w:r>
      <w:r>
        <w:rPr>
          <w:sz w:val="24"/>
          <w:szCs w:val="24"/>
        </w:rPr>
        <w:t>m</w:t>
      </w:r>
      <w:r w:rsidRPr="00694615">
        <w:rPr>
          <w:sz w:val="24"/>
          <w:szCs w:val="24"/>
        </w:rPr>
        <w:t xml:space="preserve"> + 2,000</w:t>
      </w:r>
      <w:r>
        <w:rPr>
          <w:sz w:val="24"/>
          <w:szCs w:val="24"/>
        </w:rPr>
        <w:t>m</w:t>
      </w:r>
      <w:r w:rsidRPr="00694615">
        <w:rPr>
          <w:sz w:val="24"/>
          <w:szCs w:val="24"/>
        </w:rPr>
        <w:t>) = 50.00%</w:t>
      </w:r>
      <w:r w:rsidRPr="00694615">
        <w:rPr>
          <w:sz w:val="24"/>
          <w:szCs w:val="24"/>
        </w:rPr>
        <w:tab/>
      </w:r>
    </w:p>
    <w:p w:rsidR="00393AA6" w:rsidRPr="00581E66" w:rsidRDefault="00393AA6" w:rsidP="00581E66">
      <w:pPr>
        <w:rPr>
          <w:sz w:val="24"/>
          <w:szCs w:val="24"/>
        </w:rPr>
      </w:pPr>
    </w:p>
    <w:p w:rsidR="00581E66" w:rsidRDefault="009707D8" w:rsidP="00581E66">
      <w:pPr>
        <w:rPr>
          <w:sz w:val="24"/>
          <w:szCs w:val="24"/>
        </w:rPr>
      </w:pPr>
      <w:r>
        <w:rPr>
          <w:sz w:val="24"/>
          <w:szCs w:val="24"/>
        </w:rPr>
        <w:tab/>
      </w:r>
      <w:r w:rsidR="00581E66" w:rsidRPr="00581E66">
        <w:rPr>
          <w:sz w:val="24"/>
          <w:szCs w:val="24"/>
        </w:rPr>
        <w:t>g. Provision for loan loss ratio</w:t>
      </w:r>
    </w:p>
    <w:p w:rsidR="00393AA6" w:rsidRDefault="00393AA6" w:rsidP="00581E66">
      <w:pPr>
        <w:rPr>
          <w:sz w:val="24"/>
          <w:szCs w:val="24"/>
        </w:rPr>
      </w:pPr>
    </w:p>
    <w:p w:rsidR="00393AA6" w:rsidRDefault="00393AA6" w:rsidP="00581E66">
      <w:pPr>
        <w:rPr>
          <w:sz w:val="24"/>
          <w:szCs w:val="24"/>
        </w:rPr>
      </w:pPr>
      <w:r>
        <w:rPr>
          <w:sz w:val="24"/>
          <w:szCs w:val="24"/>
        </w:rPr>
        <w:t>P</w:t>
      </w:r>
      <w:r w:rsidRPr="00694615">
        <w:rPr>
          <w:sz w:val="24"/>
          <w:szCs w:val="24"/>
        </w:rPr>
        <w:t>rovision for loan loss ratio = 2,000</w:t>
      </w:r>
      <w:r>
        <w:rPr>
          <w:sz w:val="24"/>
          <w:szCs w:val="24"/>
        </w:rPr>
        <w:t>m</w:t>
      </w:r>
      <w:proofErr w:type="gramStart"/>
      <w:r w:rsidRPr="00694615">
        <w:rPr>
          <w:sz w:val="24"/>
          <w:szCs w:val="24"/>
        </w:rPr>
        <w:t>/(</w:t>
      </w:r>
      <w:proofErr w:type="gramEnd"/>
      <w:r w:rsidRPr="00694615">
        <w:rPr>
          <w:sz w:val="24"/>
          <w:szCs w:val="24"/>
        </w:rPr>
        <w:t>20,000</w:t>
      </w:r>
      <w:r>
        <w:rPr>
          <w:sz w:val="24"/>
          <w:szCs w:val="24"/>
        </w:rPr>
        <w:t>m</w:t>
      </w:r>
      <w:r w:rsidRPr="00694615">
        <w:rPr>
          <w:sz w:val="24"/>
          <w:szCs w:val="24"/>
        </w:rPr>
        <w:t xml:space="preserve"> + 2,000</w:t>
      </w:r>
      <w:r>
        <w:rPr>
          <w:sz w:val="24"/>
          <w:szCs w:val="24"/>
        </w:rPr>
        <w:t>m</w:t>
      </w:r>
      <w:r w:rsidRPr="00694615">
        <w:rPr>
          <w:sz w:val="24"/>
          <w:szCs w:val="24"/>
        </w:rPr>
        <w:t>) = 9.09%</w:t>
      </w:r>
    </w:p>
    <w:p w:rsidR="00393AA6" w:rsidRPr="00581E66" w:rsidRDefault="00393AA6" w:rsidP="00581E66">
      <w:pPr>
        <w:rPr>
          <w:sz w:val="24"/>
          <w:szCs w:val="24"/>
        </w:rPr>
      </w:pPr>
    </w:p>
    <w:p w:rsidR="00581E66" w:rsidRDefault="009707D8" w:rsidP="00581E66">
      <w:pPr>
        <w:rPr>
          <w:sz w:val="24"/>
          <w:szCs w:val="24"/>
        </w:rPr>
      </w:pPr>
      <w:r>
        <w:rPr>
          <w:sz w:val="24"/>
          <w:szCs w:val="24"/>
        </w:rPr>
        <w:tab/>
      </w:r>
      <w:r w:rsidR="00581E66" w:rsidRPr="00581E66">
        <w:rPr>
          <w:sz w:val="24"/>
          <w:szCs w:val="24"/>
        </w:rPr>
        <w:t>h. Noninterest expense ratio</w:t>
      </w:r>
    </w:p>
    <w:p w:rsidR="00393AA6" w:rsidRDefault="00393AA6" w:rsidP="00581E66">
      <w:pPr>
        <w:rPr>
          <w:sz w:val="24"/>
          <w:szCs w:val="24"/>
        </w:rPr>
      </w:pPr>
    </w:p>
    <w:p w:rsidR="00393AA6" w:rsidRDefault="00393AA6" w:rsidP="00581E66">
      <w:pPr>
        <w:rPr>
          <w:sz w:val="24"/>
          <w:szCs w:val="24"/>
        </w:rPr>
      </w:pPr>
      <w:r>
        <w:rPr>
          <w:sz w:val="24"/>
          <w:szCs w:val="24"/>
        </w:rPr>
        <w:t>N</w:t>
      </w:r>
      <w:r w:rsidRPr="00694615">
        <w:rPr>
          <w:sz w:val="24"/>
          <w:szCs w:val="24"/>
        </w:rPr>
        <w:t>oninterest expense ratio = 1,000</w:t>
      </w:r>
      <w:r>
        <w:rPr>
          <w:sz w:val="24"/>
          <w:szCs w:val="24"/>
        </w:rPr>
        <w:t>m</w:t>
      </w:r>
      <w:proofErr w:type="gramStart"/>
      <w:r w:rsidRPr="00694615">
        <w:rPr>
          <w:sz w:val="24"/>
          <w:szCs w:val="24"/>
        </w:rPr>
        <w:t>/(</w:t>
      </w:r>
      <w:proofErr w:type="gramEnd"/>
      <w:r w:rsidRPr="00694615">
        <w:rPr>
          <w:sz w:val="24"/>
          <w:szCs w:val="24"/>
        </w:rPr>
        <w:t>20,000</w:t>
      </w:r>
      <w:r>
        <w:rPr>
          <w:sz w:val="24"/>
          <w:szCs w:val="24"/>
        </w:rPr>
        <w:t>m</w:t>
      </w:r>
      <w:r w:rsidRPr="00694615">
        <w:rPr>
          <w:sz w:val="24"/>
          <w:szCs w:val="24"/>
        </w:rPr>
        <w:t xml:space="preserve"> + 2,000</w:t>
      </w:r>
      <w:r>
        <w:rPr>
          <w:sz w:val="24"/>
          <w:szCs w:val="24"/>
        </w:rPr>
        <w:t>m</w:t>
      </w:r>
      <w:r w:rsidRPr="00694615">
        <w:rPr>
          <w:sz w:val="24"/>
          <w:szCs w:val="24"/>
        </w:rPr>
        <w:t>) = 4.55%</w:t>
      </w:r>
    </w:p>
    <w:p w:rsidR="00393AA6" w:rsidRPr="00581E66" w:rsidRDefault="00393AA6" w:rsidP="00581E66">
      <w:pPr>
        <w:rPr>
          <w:sz w:val="24"/>
          <w:szCs w:val="24"/>
        </w:rPr>
      </w:pPr>
    </w:p>
    <w:p w:rsidR="00581E66" w:rsidRPr="00581E66" w:rsidRDefault="009707D8" w:rsidP="00581E66">
      <w:pPr>
        <w:tabs>
          <w:tab w:val="left" w:pos="720"/>
          <w:tab w:val="left" w:pos="3600"/>
          <w:tab w:val="left" w:pos="4320"/>
          <w:tab w:val="left" w:pos="5310"/>
          <w:tab w:val="left" w:pos="6120"/>
          <w:tab w:val="left" w:pos="7020"/>
          <w:tab w:val="left" w:pos="7560"/>
        </w:tabs>
        <w:rPr>
          <w:sz w:val="24"/>
          <w:szCs w:val="24"/>
        </w:rPr>
      </w:pPr>
      <w:r>
        <w:rPr>
          <w:sz w:val="24"/>
          <w:szCs w:val="24"/>
        </w:rPr>
        <w:tab/>
      </w:r>
      <w:proofErr w:type="spellStart"/>
      <w:proofErr w:type="gramStart"/>
      <w:r w:rsidR="00581E66" w:rsidRPr="00581E66">
        <w:rPr>
          <w:sz w:val="24"/>
          <w:szCs w:val="24"/>
        </w:rPr>
        <w:t>i</w:t>
      </w:r>
      <w:proofErr w:type="spellEnd"/>
      <w:r w:rsidR="00581E66" w:rsidRPr="00581E66">
        <w:rPr>
          <w:sz w:val="24"/>
          <w:szCs w:val="24"/>
        </w:rPr>
        <w:t>.  Tax</w:t>
      </w:r>
      <w:proofErr w:type="gramEnd"/>
      <w:r w:rsidR="00581E66" w:rsidRPr="00581E66">
        <w:rPr>
          <w:sz w:val="24"/>
          <w:szCs w:val="24"/>
        </w:rPr>
        <w:t xml:space="preserve"> ratio</w:t>
      </w:r>
    </w:p>
    <w:p w:rsidR="00393AA6" w:rsidRDefault="00393AA6" w:rsidP="00393AA6">
      <w:pPr>
        <w:ind w:right="180"/>
        <w:rPr>
          <w:sz w:val="24"/>
          <w:szCs w:val="24"/>
        </w:rPr>
      </w:pPr>
    </w:p>
    <w:p w:rsidR="00694615" w:rsidRPr="008A1F5A" w:rsidRDefault="00694615" w:rsidP="008A1F5A">
      <w:pPr>
        <w:ind w:right="180"/>
        <w:rPr>
          <w:sz w:val="24"/>
          <w:szCs w:val="24"/>
        </w:rPr>
      </w:pPr>
      <w:r>
        <w:rPr>
          <w:sz w:val="24"/>
          <w:szCs w:val="24"/>
        </w:rPr>
        <w:t>T</w:t>
      </w:r>
      <w:r w:rsidRPr="00694615">
        <w:rPr>
          <w:sz w:val="24"/>
          <w:szCs w:val="24"/>
        </w:rPr>
        <w:t>ax ratio = 3,000</w:t>
      </w:r>
      <w:r w:rsidR="00393AA6">
        <w:rPr>
          <w:sz w:val="24"/>
          <w:szCs w:val="24"/>
        </w:rPr>
        <w:t>m</w:t>
      </w:r>
      <w:proofErr w:type="gramStart"/>
      <w:r w:rsidRPr="00694615">
        <w:rPr>
          <w:sz w:val="24"/>
          <w:szCs w:val="24"/>
        </w:rPr>
        <w:t>/(</w:t>
      </w:r>
      <w:proofErr w:type="gramEnd"/>
      <w:r w:rsidRPr="00694615">
        <w:rPr>
          <w:sz w:val="24"/>
          <w:szCs w:val="24"/>
        </w:rPr>
        <w:t>20,000</w:t>
      </w:r>
      <w:r w:rsidR="00393AA6">
        <w:rPr>
          <w:sz w:val="24"/>
          <w:szCs w:val="24"/>
        </w:rPr>
        <w:t>m</w:t>
      </w:r>
      <w:r w:rsidRPr="00694615">
        <w:rPr>
          <w:sz w:val="24"/>
          <w:szCs w:val="24"/>
        </w:rPr>
        <w:t xml:space="preserve"> + 2,000</w:t>
      </w:r>
      <w:r w:rsidR="00393AA6">
        <w:rPr>
          <w:sz w:val="24"/>
          <w:szCs w:val="24"/>
        </w:rPr>
        <w:t>m</w:t>
      </w:r>
      <w:r w:rsidRPr="00694615">
        <w:rPr>
          <w:sz w:val="24"/>
          <w:szCs w:val="24"/>
        </w:rPr>
        <w:t>) = 13.64%</w:t>
      </w:r>
    </w:p>
    <w:sectPr w:rsidR="00694615" w:rsidRPr="008A1F5A" w:rsidSect="00DF31A4">
      <w:headerReference w:type="default" r:id="rId9"/>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5AE" w:rsidRDefault="007C15AE">
      <w:r>
        <w:separator/>
      </w:r>
    </w:p>
  </w:endnote>
  <w:endnote w:type="continuationSeparator" w:id="0">
    <w:p w:rsidR="007C15AE" w:rsidRDefault="007C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E4" w:rsidRDefault="00F120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120E4" w:rsidRDefault="00F12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5A" w:rsidRPr="008A1F5A" w:rsidRDefault="008A1F5A">
    <w:pPr>
      <w:pStyle w:val="Footer"/>
      <w:jc w:val="center"/>
    </w:pPr>
    <w:r w:rsidRPr="008A1F5A">
      <w:t>2-</w:t>
    </w:r>
    <w:sdt>
      <w:sdtPr>
        <w:id w:val="880909209"/>
        <w:docPartObj>
          <w:docPartGallery w:val="Page Numbers (Bottom of Page)"/>
          <w:docPartUnique/>
        </w:docPartObj>
      </w:sdtPr>
      <w:sdtEndPr>
        <w:rPr>
          <w:noProof/>
        </w:rPr>
      </w:sdtEndPr>
      <w:sdtContent>
        <w:r w:rsidRPr="008A1F5A">
          <w:fldChar w:fldCharType="begin"/>
        </w:r>
        <w:r w:rsidRPr="008A1F5A">
          <w:instrText xml:space="preserve"> PAGE   \* MERGEFORMAT </w:instrText>
        </w:r>
        <w:r w:rsidRPr="008A1F5A">
          <w:fldChar w:fldCharType="separate"/>
        </w:r>
        <w:r w:rsidR="007A3AFE">
          <w:rPr>
            <w:noProof/>
          </w:rPr>
          <w:t>12</w:t>
        </w:r>
        <w:r w:rsidRPr="008A1F5A">
          <w:rPr>
            <w:noProof/>
          </w:rPr>
          <w:fldChar w:fldCharType="end"/>
        </w:r>
      </w:sdtContent>
    </w:sdt>
  </w:p>
  <w:p w:rsidR="00F120E4" w:rsidRPr="008A1F5A" w:rsidRDefault="008A1F5A" w:rsidP="008A1F5A">
    <w:pPr>
      <w:pStyle w:val="Footer"/>
      <w:jc w:val="center"/>
      <w:rPr>
        <w:sz w:val="16"/>
        <w:szCs w:val="16"/>
      </w:rPr>
    </w:pPr>
    <w:r w:rsidRPr="008A1F5A">
      <w:rPr>
        <w:sz w:val="16"/>
        <w:szCs w:val="16"/>
      </w:rPr>
      <w:t>Copyright © 2014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5AE" w:rsidRDefault="007C15AE">
      <w:r>
        <w:separator/>
      </w:r>
    </w:p>
  </w:footnote>
  <w:footnote w:type="continuationSeparator" w:id="0">
    <w:p w:rsidR="007C15AE" w:rsidRDefault="007C1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5A" w:rsidRPr="008A1F5A" w:rsidRDefault="008A1F5A">
    <w:pPr>
      <w:pStyle w:val="Header"/>
    </w:pPr>
    <w:r w:rsidRPr="008A1F5A">
      <w:rPr>
        <w:rStyle w:val="Strong"/>
        <w:b w:val="0"/>
        <w:color w:val="000000"/>
        <w:shd w:val="clear" w:color="auto" w:fill="FFFFFF"/>
      </w:rPr>
      <w:t>Chapter 02 -</w:t>
    </w:r>
    <w:r w:rsidRPr="008A1F5A">
      <w:rPr>
        <w:rStyle w:val="Strong"/>
        <w:color w:val="000000"/>
        <w:shd w:val="clear" w:color="auto" w:fill="FFFFFF"/>
      </w:rPr>
      <w:t xml:space="preserve"> </w:t>
    </w:r>
    <w:r w:rsidRPr="008A1F5A">
      <w:rPr>
        <w:color w:val="000000"/>
        <w:shd w:val="clear" w:color="auto" w:fill="FFFFFF"/>
      </w:rPr>
      <w:t>Financial Services: Depository Institutions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95A52"/>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4096E34"/>
    <w:multiLevelType w:val="hybridMultilevel"/>
    <w:tmpl w:val="7BCCA41C"/>
    <w:lvl w:ilvl="0" w:tplc="91AA8BE2">
      <w:start w:val="2"/>
      <w:numFmt w:val="lowerLetter"/>
      <w:lvlText w:val="(%1)"/>
      <w:lvlJc w:val="left"/>
      <w:pPr>
        <w:tabs>
          <w:tab w:val="num" w:pos="900"/>
        </w:tabs>
        <w:ind w:left="900" w:hanging="360"/>
      </w:pPr>
      <w:rPr>
        <w:rFonts w:hint="default"/>
      </w:rPr>
    </w:lvl>
    <w:lvl w:ilvl="1" w:tplc="5D96A03A">
      <w:start w:val="22"/>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CDD2899"/>
    <w:multiLevelType w:val="singleLevel"/>
    <w:tmpl w:val="66462574"/>
    <w:lvl w:ilvl="0">
      <w:start w:val="2"/>
      <w:numFmt w:val="lowerLetter"/>
      <w:lvlText w:val="%1."/>
      <w:lvlJc w:val="left"/>
      <w:pPr>
        <w:tabs>
          <w:tab w:val="num" w:pos="720"/>
        </w:tabs>
        <w:ind w:left="720" w:hanging="360"/>
      </w:pPr>
      <w:rPr>
        <w:rFonts w:hint="default"/>
      </w:rPr>
    </w:lvl>
  </w:abstractNum>
  <w:abstractNum w:abstractNumId="4">
    <w:nsid w:val="0E504DC1"/>
    <w:multiLevelType w:val="hybridMultilevel"/>
    <w:tmpl w:val="B38CA352"/>
    <w:lvl w:ilvl="0" w:tplc="0409000F">
      <w:start w:val="9"/>
      <w:numFmt w:val="decimal"/>
      <w:lvlText w:val="%1."/>
      <w:lvlJc w:val="left"/>
      <w:pPr>
        <w:tabs>
          <w:tab w:val="num" w:pos="720"/>
        </w:tabs>
        <w:ind w:left="720" w:hanging="360"/>
      </w:pPr>
      <w:rPr>
        <w:rFonts w:hint="default"/>
      </w:rPr>
    </w:lvl>
    <w:lvl w:ilvl="1" w:tplc="2736924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52071B"/>
    <w:multiLevelType w:val="singleLevel"/>
    <w:tmpl w:val="7046990A"/>
    <w:lvl w:ilvl="0">
      <w:start w:val="1"/>
      <w:numFmt w:val="lowerLetter"/>
      <w:lvlText w:val="%1."/>
      <w:lvlJc w:val="left"/>
      <w:pPr>
        <w:tabs>
          <w:tab w:val="num" w:pos="720"/>
        </w:tabs>
        <w:ind w:left="720" w:hanging="360"/>
      </w:pPr>
      <w:rPr>
        <w:rFonts w:hint="default"/>
      </w:rPr>
    </w:lvl>
  </w:abstractNum>
  <w:abstractNum w:abstractNumId="6">
    <w:nsid w:val="13BE1F87"/>
    <w:multiLevelType w:val="singleLevel"/>
    <w:tmpl w:val="46F0CDBE"/>
    <w:lvl w:ilvl="0">
      <w:start w:val="1"/>
      <w:numFmt w:val="lowerLetter"/>
      <w:lvlText w:val="%1."/>
      <w:lvlJc w:val="left"/>
      <w:pPr>
        <w:tabs>
          <w:tab w:val="num" w:pos="1080"/>
        </w:tabs>
        <w:ind w:left="1080" w:hanging="540"/>
      </w:pPr>
      <w:rPr>
        <w:rFonts w:hint="default"/>
      </w:rPr>
    </w:lvl>
  </w:abstractNum>
  <w:abstractNum w:abstractNumId="7">
    <w:nsid w:val="15077426"/>
    <w:multiLevelType w:val="hybridMultilevel"/>
    <w:tmpl w:val="5058C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A17399"/>
    <w:multiLevelType w:val="hybridMultilevel"/>
    <w:tmpl w:val="2A742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FB5786"/>
    <w:multiLevelType w:val="singleLevel"/>
    <w:tmpl w:val="168A1FFA"/>
    <w:lvl w:ilvl="0">
      <w:start w:val="1"/>
      <w:numFmt w:val="lowerLetter"/>
      <w:lvlText w:val="%1."/>
      <w:lvlJc w:val="left"/>
      <w:pPr>
        <w:tabs>
          <w:tab w:val="num" w:pos="720"/>
        </w:tabs>
        <w:ind w:left="720" w:hanging="360"/>
      </w:pPr>
      <w:rPr>
        <w:rFonts w:hint="default"/>
      </w:rPr>
    </w:lvl>
  </w:abstractNum>
  <w:abstractNum w:abstractNumId="10">
    <w:nsid w:val="215C77E2"/>
    <w:multiLevelType w:val="singleLevel"/>
    <w:tmpl w:val="B57E2302"/>
    <w:lvl w:ilvl="0">
      <w:start w:val="1"/>
      <w:numFmt w:val="lowerLetter"/>
      <w:lvlText w:val="%1."/>
      <w:lvlJc w:val="left"/>
      <w:pPr>
        <w:tabs>
          <w:tab w:val="num" w:pos="720"/>
        </w:tabs>
        <w:ind w:left="720" w:hanging="360"/>
      </w:pPr>
      <w:rPr>
        <w:rFonts w:hint="default"/>
      </w:rPr>
    </w:lvl>
  </w:abstractNum>
  <w:abstractNum w:abstractNumId="11">
    <w:nsid w:val="24115C18"/>
    <w:multiLevelType w:val="hybridMultilevel"/>
    <w:tmpl w:val="0F523894"/>
    <w:lvl w:ilvl="0" w:tplc="EE388FC0">
      <w:start w:val="2"/>
      <w:numFmt w:val="lowerLetter"/>
      <w:lvlText w:val="%1."/>
      <w:lvlJc w:val="left"/>
      <w:pPr>
        <w:tabs>
          <w:tab w:val="num" w:pos="1080"/>
        </w:tabs>
        <w:ind w:left="1080" w:hanging="540"/>
      </w:pPr>
      <w:rPr>
        <w:rFonts w:hint="default"/>
      </w:rPr>
    </w:lvl>
    <w:lvl w:ilvl="1" w:tplc="03A6535E">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2A8B3EEA"/>
    <w:multiLevelType w:val="singleLevel"/>
    <w:tmpl w:val="B61AAF7E"/>
    <w:lvl w:ilvl="0">
      <w:start w:val="1"/>
      <w:numFmt w:val="lowerLetter"/>
      <w:lvlText w:val="%1."/>
      <w:lvlJc w:val="left"/>
      <w:pPr>
        <w:tabs>
          <w:tab w:val="num" w:pos="1080"/>
        </w:tabs>
        <w:ind w:left="1080" w:hanging="540"/>
      </w:pPr>
      <w:rPr>
        <w:rFonts w:hint="default"/>
      </w:rPr>
    </w:lvl>
  </w:abstractNum>
  <w:abstractNum w:abstractNumId="13">
    <w:nsid w:val="2ACA3FEE"/>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2B3D0A95"/>
    <w:multiLevelType w:val="singleLevel"/>
    <w:tmpl w:val="0409000F"/>
    <w:lvl w:ilvl="0">
      <w:start w:val="9"/>
      <w:numFmt w:val="decimal"/>
      <w:lvlText w:val="%1."/>
      <w:lvlJc w:val="left"/>
      <w:pPr>
        <w:tabs>
          <w:tab w:val="num" w:pos="360"/>
        </w:tabs>
        <w:ind w:left="360" w:hanging="360"/>
      </w:pPr>
      <w:rPr>
        <w:rFonts w:hint="default"/>
      </w:rPr>
    </w:lvl>
  </w:abstractNum>
  <w:abstractNum w:abstractNumId="15">
    <w:nsid w:val="328434F4"/>
    <w:multiLevelType w:val="singleLevel"/>
    <w:tmpl w:val="5F1C18EE"/>
    <w:lvl w:ilvl="0">
      <w:start w:val="1"/>
      <w:numFmt w:val="decimal"/>
      <w:lvlText w:val="%1."/>
      <w:lvlJc w:val="left"/>
      <w:pPr>
        <w:tabs>
          <w:tab w:val="num" w:pos="540"/>
        </w:tabs>
        <w:ind w:left="540" w:hanging="540"/>
      </w:pPr>
      <w:rPr>
        <w:rFonts w:hint="default"/>
      </w:rPr>
    </w:lvl>
  </w:abstractNum>
  <w:abstractNum w:abstractNumId="16">
    <w:nsid w:val="34A00EE7"/>
    <w:multiLevelType w:val="singleLevel"/>
    <w:tmpl w:val="B1C086B2"/>
    <w:lvl w:ilvl="0">
      <w:start w:val="1"/>
      <w:numFmt w:val="lowerLetter"/>
      <w:lvlText w:val="%1."/>
      <w:lvlJc w:val="left"/>
      <w:pPr>
        <w:tabs>
          <w:tab w:val="num" w:pos="720"/>
        </w:tabs>
        <w:ind w:left="720" w:hanging="360"/>
      </w:pPr>
      <w:rPr>
        <w:rFonts w:hint="default"/>
      </w:rPr>
    </w:lvl>
  </w:abstractNum>
  <w:abstractNum w:abstractNumId="17">
    <w:nsid w:val="35C629F3"/>
    <w:multiLevelType w:val="singleLevel"/>
    <w:tmpl w:val="27ECF72C"/>
    <w:lvl w:ilvl="0">
      <w:start w:val="1"/>
      <w:numFmt w:val="lowerLetter"/>
      <w:lvlText w:val="%1."/>
      <w:lvlJc w:val="left"/>
      <w:pPr>
        <w:tabs>
          <w:tab w:val="num" w:pos="720"/>
        </w:tabs>
        <w:ind w:left="720" w:hanging="360"/>
      </w:pPr>
      <w:rPr>
        <w:rFonts w:hint="default"/>
      </w:rPr>
    </w:lvl>
  </w:abstractNum>
  <w:abstractNum w:abstractNumId="18">
    <w:nsid w:val="3AB866CA"/>
    <w:multiLevelType w:val="singleLevel"/>
    <w:tmpl w:val="41ACC85C"/>
    <w:lvl w:ilvl="0">
      <w:start w:val="1"/>
      <w:numFmt w:val="decimal"/>
      <w:lvlText w:val="%1."/>
      <w:lvlJc w:val="left"/>
      <w:pPr>
        <w:tabs>
          <w:tab w:val="num" w:pos="540"/>
        </w:tabs>
        <w:ind w:left="540" w:hanging="540"/>
      </w:pPr>
      <w:rPr>
        <w:rFonts w:hint="default"/>
      </w:rPr>
    </w:lvl>
  </w:abstractNum>
  <w:abstractNum w:abstractNumId="19">
    <w:nsid w:val="3CC05B8D"/>
    <w:multiLevelType w:val="singleLevel"/>
    <w:tmpl w:val="FC4EDAE6"/>
    <w:lvl w:ilvl="0">
      <w:start w:val="1"/>
      <w:numFmt w:val="lowerLetter"/>
      <w:lvlText w:val="%1."/>
      <w:lvlJc w:val="left"/>
      <w:pPr>
        <w:tabs>
          <w:tab w:val="num" w:pos="720"/>
        </w:tabs>
        <w:ind w:left="720" w:hanging="360"/>
      </w:pPr>
      <w:rPr>
        <w:rFonts w:hint="default"/>
      </w:rPr>
    </w:lvl>
  </w:abstractNum>
  <w:abstractNum w:abstractNumId="20">
    <w:nsid w:val="3D442737"/>
    <w:multiLevelType w:val="hybridMultilevel"/>
    <w:tmpl w:val="27928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8C7674"/>
    <w:multiLevelType w:val="hybridMultilevel"/>
    <w:tmpl w:val="28B4CE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CAF1C39"/>
    <w:multiLevelType w:val="hybridMultilevel"/>
    <w:tmpl w:val="D1FEB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062B87"/>
    <w:multiLevelType w:val="singleLevel"/>
    <w:tmpl w:val="2A509248"/>
    <w:lvl w:ilvl="0">
      <w:start w:val="1"/>
      <w:numFmt w:val="lowerLetter"/>
      <w:lvlText w:val="%1."/>
      <w:lvlJc w:val="left"/>
      <w:pPr>
        <w:tabs>
          <w:tab w:val="num" w:pos="720"/>
        </w:tabs>
        <w:ind w:left="720" w:hanging="360"/>
      </w:pPr>
      <w:rPr>
        <w:rFonts w:hint="default"/>
      </w:rPr>
    </w:lvl>
  </w:abstractNum>
  <w:abstractNum w:abstractNumId="24">
    <w:nsid w:val="58D80D37"/>
    <w:multiLevelType w:val="hybridMultilevel"/>
    <w:tmpl w:val="215C0DCE"/>
    <w:lvl w:ilvl="0" w:tplc="0A18A194">
      <w:start w:val="4"/>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7B3B5B26"/>
    <w:multiLevelType w:val="singleLevel"/>
    <w:tmpl w:val="76703148"/>
    <w:lvl w:ilvl="0">
      <w:start w:val="28"/>
      <w:numFmt w:val="decimal"/>
      <w:lvlText w:val="%1."/>
      <w:lvlJc w:val="left"/>
      <w:pPr>
        <w:tabs>
          <w:tab w:val="num" w:pos="540"/>
        </w:tabs>
        <w:ind w:left="540" w:hanging="540"/>
      </w:pPr>
    </w:lvl>
  </w:abstractNum>
  <w:abstractNum w:abstractNumId="26">
    <w:nsid w:val="7ED92D72"/>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lvlOverride w:ilvl="0">
      <w:lvl w:ilvl="0">
        <w:numFmt w:val="bullet"/>
        <w:lvlText w:val="•"/>
        <w:legacy w:legacy="1" w:legacySpace="0" w:legacyIndent="0"/>
        <w:lvlJc w:val="left"/>
        <w:rPr>
          <w:rFonts w:ascii="Times New Roman" w:hAnsi="Times New Roman" w:hint="default"/>
          <w:sz w:val="28"/>
        </w:rPr>
      </w:lvl>
    </w:lvlOverride>
  </w:num>
  <w:num w:numId="2">
    <w:abstractNumId w:val="0"/>
    <w:lvlOverride w:ilvl="0">
      <w:lvl w:ilvl="0">
        <w:numFmt w:val="bullet"/>
        <w:lvlText w:val="»"/>
        <w:legacy w:legacy="1" w:legacySpace="0" w:legacyIndent="0"/>
        <w:lvlJc w:val="left"/>
        <w:rPr>
          <w:rFonts w:ascii="Times New Roman" w:hAnsi="Times New Roman" w:hint="default"/>
          <w:sz w:val="24"/>
        </w:rPr>
      </w:lvl>
    </w:lvlOverride>
  </w:num>
  <w:num w:numId="3">
    <w:abstractNumId w:val="0"/>
    <w:lvlOverride w:ilvl="0">
      <w:lvl w:ilvl="0">
        <w:numFmt w:val="bullet"/>
        <w:lvlText w:val=""/>
        <w:legacy w:legacy="1" w:legacySpace="0" w:legacyIndent="0"/>
        <w:lvlJc w:val="left"/>
        <w:rPr>
          <w:rFonts w:ascii="Monotype Sorts" w:hAnsi="Monotype Sorts" w:hint="default"/>
          <w:sz w:val="24"/>
        </w:rPr>
      </w:lvl>
    </w:lvlOverride>
  </w:num>
  <w:num w:numId="4">
    <w:abstractNumId w:val="0"/>
    <w:lvlOverride w:ilvl="0">
      <w:lvl w:ilvl="0">
        <w:numFmt w:val="bullet"/>
        <w:lvlText w:val=""/>
        <w:legacy w:legacy="1" w:legacySpace="0" w:legacyIndent="0"/>
        <w:lvlJc w:val="left"/>
        <w:rPr>
          <w:rFonts w:ascii="Monotype Sorts" w:hAnsi="Monotype Sorts" w:hint="default"/>
          <w:sz w:val="18"/>
        </w:rPr>
      </w:lvl>
    </w:lvlOverride>
  </w:num>
  <w:num w:numId="5">
    <w:abstractNumId w:val="0"/>
    <w:lvlOverride w:ilvl="0">
      <w:lvl w:ilvl="0">
        <w:numFmt w:val="bullet"/>
        <w:lvlText w:val="»"/>
        <w:legacy w:legacy="1" w:legacySpace="0" w:legacyIndent="0"/>
        <w:lvlJc w:val="left"/>
        <w:rPr>
          <w:rFonts w:ascii="Times New Roman" w:hAnsi="Times New Roman" w:hint="default"/>
          <w:sz w:val="28"/>
        </w:rPr>
      </w:lvl>
    </w:lvlOverride>
  </w:num>
  <w:num w:numId="6">
    <w:abstractNumId w:val="18"/>
  </w:num>
  <w:num w:numId="7">
    <w:abstractNumId w:val="6"/>
  </w:num>
  <w:num w:numId="8">
    <w:abstractNumId w:val="12"/>
  </w:num>
  <w:num w:numId="9">
    <w:abstractNumId w:val="15"/>
  </w:num>
  <w:num w:numId="10">
    <w:abstractNumId w:val="3"/>
  </w:num>
  <w:num w:numId="11">
    <w:abstractNumId w:val="5"/>
  </w:num>
  <w:num w:numId="12">
    <w:abstractNumId w:val="19"/>
  </w:num>
  <w:num w:numId="13">
    <w:abstractNumId w:val="14"/>
  </w:num>
  <w:num w:numId="14">
    <w:abstractNumId w:val="17"/>
  </w:num>
  <w:num w:numId="15">
    <w:abstractNumId w:val="1"/>
  </w:num>
  <w:num w:numId="16">
    <w:abstractNumId w:val="23"/>
  </w:num>
  <w:num w:numId="17">
    <w:abstractNumId w:val="16"/>
  </w:num>
  <w:num w:numId="18">
    <w:abstractNumId w:val="26"/>
  </w:num>
  <w:num w:numId="19">
    <w:abstractNumId w:val="9"/>
  </w:num>
  <w:num w:numId="20">
    <w:abstractNumId w:val="10"/>
  </w:num>
  <w:num w:numId="21">
    <w:abstractNumId w:val="13"/>
  </w:num>
  <w:num w:numId="22">
    <w:abstractNumId w:val="21"/>
  </w:num>
  <w:num w:numId="23">
    <w:abstractNumId w:val="20"/>
  </w:num>
  <w:num w:numId="24">
    <w:abstractNumId w:val="22"/>
  </w:num>
  <w:num w:numId="25">
    <w:abstractNumId w:val="8"/>
  </w:num>
  <w:num w:numId="26">
    <w:abstractNumId w:val="7"/>
  </w:num>
  <w:num w:numId="27">
    <w:abstractNumId w:val="4"/>
  </w:num>
  <w:num w:numId="28">
    <w:abstractNumId w:val="11"/>
  </w:num>
  <w:num w:numId="29">
    <w:abstractNumId w:val="24"/>
  </w:num>
  <w:num w:numId="30">
    <w:abstractNumId w:val="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06"/>
    <w:rsid w:val="00014C98"/>
    <w:rsid w:val="00070728"/>
    <w:rsid w:val="000F2331"/>
    <w:rsid w:val="001119CD"/>
    <w:rsid w:val="00112B09"/>
    <w:rsid w:val="00121DE8"/>
    <w:rsid w:val="0015236A"/>
    <w:rsid w:val="00175121"/>
    <w:rsid w:val="001B475B"/>
    <w:rsid w:val="001C6AAA"/>
    <w:rsid w:val="002B5049"/>
    <w:rsid w:val="003042F0"/>
    <w:rsid w:val="003824B5"/>
    <w:rsid w:val="00393AA6"/>
    <w:rsid w:val="003B08E0"/>
    <w:rsid w:val="004306B0"/>
    <w:rsid w:val="00514F6B"/>
    <w:rsid w:val="00581E66"/>
    <w:rsid w:val="005955E1"/>
    <w:rsid w:val="005D1C7C"/>
    <w:rsid w:val="00694615"/>
    <w:rsid w:val="00694E43"/>
    <w:rsid w:val="006F7A06"/>
    <w:rsid w:val="00720555"/>
    <w:rsid w:val="007A3AFE"/>
    <w:rsid w:val="007C15AE"/>
    <w:rsid w:val="007E4CEE"/>
    <w:rsid w:val="00833DB3"/>
    <w:rsid w:val="008728CF"/>
    <w:rsid w:val="00882181"/>
    <w:rsid w:val="008A1F5A"/>
    <w:rsid w:val="009707D8"/>
    <w:rsid w:val="009943CB"/>
    <w:rsid w:val="009A18E4"/>
    <w:rsid w:val="009B4A87"/>
    <w:rsid w:val="009D28BF"/>
    <w:rsid w:val="00A3338F"/>
    <w:rsid w:val="00A6647B"/>
    <w:rsid w:val="00AB4A66"/>
    <w:rsid w:val="00B36BD1"/>
    <w:rsid w:val="00B410E5"/>
    <w:rsid w:val="00B93240"/>
    <w:rsid w:val="00BA7040"/>
    <w:rsid w:val="00BB3D8E"/>
    <w:rsid w:val="00BB5FF0"/>
    <w:rsid w:val="00BC09B7"/>
    <w:rsid w:val="00C72185"/>
    <w:rsid w:val="00C848B3"/>
    <w:rsid w:val="00DF31A4"/>
    <w:rsid w:val="00E3510E"/>
    <w:rsid w:val="00E65F7C"/>
    <w:rsid w:val="00ED3CCB"/>
    <w:rsid w:val="00EF5BCD"/>
    <w:rsid w:val="00F120E4"/>
    <w:rsid w:val="00F40D90"/>
    <w:rsid w:val="00F655F9"/>
    <w:rsid w:val="00FB1F60"/>
    <w:rsid w:val="00FD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728"/>
  </w:style>
  <w:style w:type="paragraph" w:styleId="Heading1">
    <w:name w:val="heading 1"/>
    <w:basedOn w:val="Normal"/>
    <w:next w:val="Normal"/>
    <w:qFormat/>
    <w:rsid w:val="00070728"/>
    <w:pPr>
      <w:keepNext/>
      <w:jc w:val="center"/>
      <w:outlineLvl w:val="0"/>
    </w:pPr>
    <w:rPr>
      <w:sz w:val="40"/>
    </w:rPr>
  </w:style>
  <w:style w:type="paragraph" w:styleId="Heading2">
    <w:name w:val="heading 2"/>
    <w:basedOn w:val="Normal"/>
    <w:next w:val="Normal"/>
    <w:qFormat/>
    <w:rsid w:val="00070728"/>
    <w:pPr>
      <w:ind w:left="270" w:hanging="270"/>
      <w:outlineLvl w:val="1"/>
    </w:pPr>
    <w:rPr>
      <w:snapToGrid w:val="0"/>
      <w:color w:val="000000"/>
      <w:sz w:val="32"/>
    </w:rPr>
  </w:style>
  <w:style w:type="paragraph" w:styleId="Heading3">
    <w:name w:val="heading 3"/>
    <w:basedOn w:val="Normal"/>
    <w:next w:val="Normal"/>
    <w:qFormat/>
    <w:rsid w:val="00070728"/>
    <w:pPr>
      <w:ind w:left="585" w:hanging="225"/>
      <w:outlineLvl w:val="2"/>
    </w:pPr>
    <w:rPr>
      <w:snapToGrid w:val="0"/>
      <w:color w:val="000000"/>
      <w:sz w:val="28"/>
    </w:rPr>
  </w:style>
  <w:style w:type="paragraph" w:styleId="Heading4">
    <w:name w:val="heading 4"/>
    <w:basedOn w:val="Normal"/>
    <w:next w:val="Normal"/>
    <w:qFormat/>
    <w:rsid w:val="00070728"/>
    <w:pPr>
      <w:ind w:left="900" w:hanging="180"/>
      <w:outlineLvl w:val="3"/>
    </w:pPr>
    <w:rPr>
      <w:snapToGrid w:val="0"/>
      <w:color w:val="000000"/>
      <w:sz w:val="24"/>
    </w:rPr>
  </w:style>
  <w:style w:type="paragraph" w:styleId="Heading5">
    <w:name w:val="heading 5"/>
    <w:basedOn w:val="Normal"/>
    <w:next w:val="Normal"/>
    <w:qFormat/>
    <w:rsid w:val="00070728"/>
    <w:pPr>
      <w:keepNext/>
      <w:outlineLvl w:val="4"/>
    </w:pPr>
    <w:rPr>
      <w:b/>
      <w:sz w:val="24"/>
    </w:rPr>
  </w:style>
  <w:style w:type="paragraph" w:styleId="Heading6">
    <w:name w:val="heading 6"/>
    <w:basedOn w:val="Normal"/>
    <w:next w:val="Normal"/>
    <w:qFormat/>
    <w:rsid w:val="00070728"/>
    <w:pPr>
      <w:keepNext/>
      <w:jc w:val="center"/>
      <w:outlineLvl w:val="5"/>
    </w:pPr>
    <w:rPr>
      <w:b/>
      <w:bCs/>
      <w:sz w:val="24"/>
    </w:rPr>
  </w:style>
  <w:style w:type="paragraph" w:styleId="Heading7">
    <w:name w:val="heading 7"/>
    <w:basedOn w:val="Normal"/>
    <w:next w:val="Normal"/>
    <w:qFormat/>
    <w:rsid w:val="00070728"/>
    <w:pPr>
      <w:keepNext/>
      <w:tabs>
        <w:tab w:val="left" w:pos="540"/>
        <w:tab w:val="left" w:pos="1080"/>
        <w:tab w:val="left" w:pos="1620"/>
        <w:tab w:val="right" w:pos="7560"/>
      </w:tabs>
      <w:ind w:left="540" w:hanging="54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0728"/>
    <w:pPr>
      <w:tabs>
        <w:tab w:val="center" w:pos="4320"/>
        <w:tab w:val="right" w:pos="8640"/>
      </w:tabs>
    </w:pPr>
  </w:style>
  <w:style w:type="character" w:styleId="PageNumber">
    <w:name w:val="page number"/>
    <w:basedOn w:val="DefaultParagraphFont"/>
    <w:rsid w:val="00070728"/>
  </w:style>
  <w:style w:type="paragraph" w:styleId="BodyText">
    <w:name w:val="Body Text"/>
    <w:basedOn w:val="Normal"/>
    <w:rsid w:val="00070728"/>
    <w:rPr>
      <w:sz w:val="24"/>
    </w:rPr>
  </w:style>
  <w:style w:type="paragraph" w:styleId="BodyTextIndent">
    <w:name w:val="Body Text Indent"/>
    <w:basedOn w:val="Normal"/>
    <w:rsid w:val="00070728"/>
    <w:pPr>
      <w:tabs>
        <w:tab w:val="left" w:pos="540"/>
        <w:tab w:val="left" w:pos="1620"/>
      </w:tabs>
      <w:ind w:left="540" w:hanging="540"/>
    </w:pPr>
    <w:rPr>
      <w:sz w:val="24"/>
    </w:rPr>
  </w:style>
  <w:style w:type="paragraph" w:styleId="BodyTextIndent2">
    <w:name w:val="Body Text Indent 2"/>
    <w:basedOn w:val="Normal"/>
    <w:rsid w:val="00070728"/>
    <w:pPr>
      <w:tabs>
        <w:tab w:val="left" w:pos="540"/>
        <w:tab w:val="left" w:pos="900"/>
        <w:tab w:val="left" w:pos="1440"/>
        <w:tab w:val="left" w:pos="1620"/>
        <w:tab w:val="left" w:pos="2160"/>
      </w:tabs>
      <w:ind w:left="900" w:hanging="900"/>
    </w:pPr>
    <w:rPr>
      <w:sz w:val="24"/>
    </w:rPr>
  </w:style>
  <w:style w:type="paragraph" w:styleId="Header">
    <w:name w:val="header"/>
    <w:basedOn w:val="Normal"/>
    <w:rsid w:val="00070728"/>
    <w:pPr>
      <w:tabs>
        <w:tab w:val="center" w:pos="4320"/>
        <w:tab w:val="right" w:pos="8640"/>
      </w:tabs>
    </w:pPr>
  </w:style>
  <w:style w:type="paragraph" w:styleId="BodyTextIndent3">
    <w:name w:val="Body Text Indent 3"/>
    <w:basedOn w:val="Normal"/>
    <w:rsid w:val="00070728"/>
    <w:pPr>
      <w:tabs>
        <w:tab w:val="left" w:pos="540"/>
        <w:tab w:val="left" w:pos="1080"/>
        <w:tab w:val="left" w:pos="1620"/>
      </w:tabs>
      <w:ind w:left="1080" w:hanging="1080"/>
    </w:pPr>
    <w:rPr>
      <w:sz w:val="24"/>
    </w:rPr>
  </w:style>
  <w:style w:type="character" w:styleId="Hyperlink">
    <w:name w:val="Hyperlink"/>
    <w:basedOn w:val="DefaultParagraphFont"/>
    <w:rsid w:val="00070728"/>
    <w:rPr>
      <w:color w:val="0000FF"/>
      <w:u w:val="single"/>
    </w:rPr>
  </w:style>
  <w:style w:type="paragraph" w:customStyle="1" w:styleId="Default">
    <w:name w:val="Default"/>
    <w:rsid w:val="00882181"/>
    <w:pPr>
      <w:autoSpaceDE w:val="0"/>
      <w:autoSpaceDN w:val="0"/>
      <w:adjustRightInd w:val="0"/>
    </w:pPr>
    <w:rPr>
      <w:color w:val="000000"/>
      <w:sz w:val="24"/>
      <w:szCs w:val="24"/>
    </w:rPr>
  </w:style>
  <w:style w:type="paragraph" w:styleId="NoSpacing">
    <w:name w:val="No Spacing"/>
    <w:uiPriority w:val="1"/>
    <w:qFormat/>
    <w:rsid w:val="009B4A87"/>
    <w:rPr>
      <w:rFonts w:asciiTheme="minorHAnsi" w:eastAsiaTheme="minorHAnsi" w:hAnsiTheme="minorHAnsi" w:cstheme="minorBidi"/>
      <w:sz w:val="22"/>
      <w:szCs w:val="22"/>
    </w:rPr>
  </w:style>
  <w:style w:type="character" w:styleId="Strong">
    <w:name w:val="Strong"/>
    <w:basedOn w:val="DefaultParagraphFont"/>
    <w:uiPriority w:val="22"/>
    <w:qFormat/>
    <w:rsid w:val="008A1F5A"/>
    <w:rPr>
      <w:b/>
      <w:bCs/>
    </w:rPr>
  </w:style>
  <w:style w:type="character" w:customStyle="1" w:styleId="apple-converted-space">
    <w:name w:val="apple-converted-space"/>
    <w:basedOn w:val="DefaultParagraphFont"/>
    <w:rsid w:val="008A1F5A"/>
  </w:style>
  <w:style w:type="character" w:customStyle="1" w:styleId="FooterChar">
    <w:name w:val="Footer Char"/>
    <w:basedOn w:val="DefaultParagraphFont"/>
    <w:link w:val="Footer"/>
    <w:uiPriority w:val="99"/>
    <w:rsid w:val="008A1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728"/>
  </w:style>
  <w:style w:type="paragraph" w:styleId="Heading1">
    <w:name w:val="heading 1"/>
    <w:basedOn w:val="Normal"/>
    <w:next w:val="Normal"/>
    <w:qFormat/>
    <w:rsid w:val="00070728"/>
    <w:pPr>
      <w:keepNext/>
      <w:jc w:val="center"/>
      <w:outlineLvl w:val="0"/>
    </w:pPr>
    <w:rPr>
      <w:sz w:val="40"/>
    </w:rPr>
  </w:style>
  <w:style w:type="paragraph" w:styleId="Heading2">
    <w:name w:val="heading 2"/>
    <w:basedOn w:val="Normal"/>
    <w:next w:val="Normal"/>
    <w:qFormat/>
    <w:rsid w:val="00070728"/>
    <w:pPr>
      <w:ind w:left="270" w:hanging="270"/>
      <w:outlineLvl w:val="1"/>
    </w:pPr>
    <w:rPr>
      <w:snapToGrid w:val="0"/>
      <w:color w:val="000000"/>
      <w:sz w:val="32"/>
    </w:rPr>
  </w:style>
  <w:style w:type="paragraph" w:styleId="Heading3">
    <w:name w:val="heading 3"/>
    <w:basedOn w:val="Normal"/>
    <w:next w:val="Normal"/>
    <w:qFormat/>
    <w:rsid w:val="00070728"/>
    <w:pPr>
      <w:ind w:left="585" w:hanging="225"/>
      <w:outlineLvl w:val="2"/>
    </w:pPr>
    <w:rPr>
      <w:snapToGrid w:val="0"/>
      <w:color w:val="000000"/>
      <w:sz w:val="28"/>
    </w:rPr>
  </w:style>
  <w:style w:type="paragraph" w:styleId="Heading4">
    <w:name w:val="heading 4"/>
    <w:basedOn w:val="Normal"/>
    <w:next w:val="Normal"/>
    <w:qFormat/>
    <w:rsid w:val="00070728"/>
    <w:pPr>
      <w:ind w:left="900" w:hanging="180"/>
      <w:outlineLvl w:val="3"/>
    </w:pPr>
    <w:rPr>
      <w:snapToGrid w:val="0"/>
      <w:color w:val="000000"/>
      <w:sz w:val="24"/>
    </w:rPr>
  </w:style>
  <w:style w:type="paragraph" w:styleId="Heading5">
    <w:name w:val="heading 5"/>
    <w:basedOn w:val="Normal"/>
    <w:next w:val="Normal"/>
    <w:qFormat/>
    <w:rsid w:val="00070728"/>
    <w:pPr>
      <w:keepNext/>
      <w:outlineLvl w:val="4"/>
    </w:pPr>
    <w:rPr>
      <w:b/>
      <w:sz w:val="24"/>
    </w:rPr>
  </w:style>
  <w:style w:type="paragraph" w:styleId="Heading6">
    <w:name w:val="heading 6"/>
    <w:basedOn w:val="Normal"/>
    <w:next w:val="Normal"/>
    <w:qFormat/>
    <w:rsid w:val="00070728"/>
    <w:pPr>
      <w:keepNext/>
      <w:jc w:val="center"/>
      <w:outlineLvl w:val="5"/>
    </w:pPr>
    <w:rPr>
      <w:b/>
      <w:bCs/>
      <w:sz w:val="24"/>
    </w:rPr>
  </w:style>
  <w:style w:type="paragraph" w:styleId="Heading7">
    <w:name w:val="heading 7"/>
    <w:basedOn w:val="Normal"/>
    <w:next w:val="Normal"/>
    <w:qFormat/>
    <w:rsid w:val="00070728"/>
    <w:pPr>
      <w:keepNext/>
      <w:tabs>
        <w:tab w:val="left" w:pos="540"/>
        <w:tab w:val="left" w:pos="1080"/>
        <w:tab w:val="left" w:pos="1620"/>
        <w:tab w:val="right" w:pos="7560"/>
      </w:tabs>
      <w:ind w:left="540" w:hanging="54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0728"/>
    <w:pPr>
      <w:tabs>
        <w:tab w:val="center" w:pos="4320"/>
        <w:tab w:val="right" w:pos="8640"/>
      </w:tabs>
    </w:pPr>
  </w:style>
  <w:style w:type="character" w:styleId="PageNumber">
    <w:name w:val="page number"/>
    <w:basedOn w:val="DefaultParagraphFont"/>
    <w:rsid w:val="00070728"/>
  </w:style>
  <w:style w:type="paragraph" w:styleId="BodyText">
    <w:name w:val="Body Text"/>
    <w:basedOn w:val="Normal"/>
    <w:rsid w:val="00070728"/>
    <w:rPr>
      <w:sz w:val="24"/>
    </w:rPr>
  </w:style>
  <w:style w:type="paragraph" w:styleId="BodyTextIndent">
    <w:name w:val="Body Text Indent"/>
    <w:basedOn w:val="Normal"/>
    <w:rsid w:val="00070728"/>
    <w:pPr>
      <w:tabs>
        <w:tab w:val="left" w:pos="540"/>
        <w:tab w:val="left" w:pos="1620"/>
      </w:tabs>
      <w:ind w:left="540" w:hanging="540"/>
    </w:pPr>
    <w:rPr>
      <w:sz w:val="24"/>
    </w:rPr>
  </w:style>
  <w:style w:type="paragraph" w:styleId="BodyTextIndent2">
    <w:name w:val="Body Text Indent 2"/>
    <w:basedOn w:val="Normal"/>
    <w:rsid w:val="00070728"/>
    <w:pPr>
      <w:tabs>
        <w:tab w:val="left" w:pos="540"/>
        <w:tab w:val="left" w:pos="900"/>
        <w:tab w:val="left" w:pos="1440"/>
        <w:tab w:val="left" w:pos="1620"/>
        <w:tab w:val="left" w:pos="2160"/>
      </w:tabs>
      <w:ind w:left="900" w:hanging="900"/>
    </w:pPr>
    <w:rPr>
      <w:sz w:val="24"/>
    </w:rPr>
  </w:style>
  <w:style w:type="paragraph" w:styleId="Header">
    <w:name w:val="header"/>
    <w:basedOn w:val="Normal"/>
    <w:rsid w:val="00070728"/>
    <w:pPr>
      <w:tabs>
        <w:tab w:val="center" w:pos="4320"/>
        <w:tab w:val="right" w:pos="8640"/>
      </w:tabs>
    </w:pPr>
  </w:style>
  <w:style w:type="paragraph" w:styleId="BodyTextIndent3">
    <w:name w:val="Body Text Indent 3"/>
    <w:basedOn w:val="Normal"/>
    <w:rsid w:val="00070728"/>
    <w:pPr>
      <w:tabs>
        <w:tab w:val="left" w:pos="540"/>
        <w:tab w:val="left" w:pos="1080"/>
        <w:tab w:val="left" w:pos="1620"/>
      </w:tabs>
      <w:ind w:left="1080" w:hanging="1080"/>
    </w:pPr>
    <w:rPr>
      <w:sz w:val="24"/>
    </w:rPr>
  </w:style>
  <w:style w:type="character" w:styleId="Hyperlink">
    <w:name w:val="Hyperlink"/>
    <w:basedOn w:val="DefaultParagraphFont"/>
    <w:rsid w:val="00070728"/>
    <w:rPr>
      <w:color w:val="0000FF"/>
      <w:u w:val="single"/>
    </w:rPr>
  </w:style>
  <w:style w:type="paragraph" w:customStyle="1" w:styleId="Default">
    <w:name w:val="Default"/>
    <w:rsid w:val="00882181"/>
    <w:pPr>
      <w:autoSpaceDE w:val="0"/>
      <w:autoSpaceDN w:val="0"/>
      <w:adjustRightInd w:val="0"/>
    </w:pPr>
    <w:rPr>
      <w:color w:val="000000"/>
      <w:sz w:val="24"/>
      <w:szCs w:val="24"/>
    </w:rPr>
  </w:style>
  <w:style w:type="paragraph" w:styleId="NoSpacing">
    <w:name w:val="No Spacing"/>
    <w:uiPriority w:val="1"/>
    <w:qFormat/>
    <w:rsid w:val="009B4A87"/>
    <w:rPr>
      <w:rFonts w:asciiTheme="minorHAnsi" w:eastAsiaTheme="minorHAnsi" w:hAnsiTheme="minorHAnsi" w:cstheme="minorBidi"/>
      <w:sz w:val="22"/>
      <w:szCs w:val="22"/>
    </w:rPr>
  </w:style>
  <w:style w:type="character" w:styleId="Strong">
    <w:name w:val="Strong"/>
    <w:basedOn w:val="DefaultParagraphFont"/>
    <w:uiPriority w:val="22"/>
    <w:qFormat/>
    <w:rsid w:val="008A1F5A"/>
    <w:rPr>
      <w:b/>
      <w:bCs/>
    </w:rPr>
  </w:style>
  <w:style w:type="character" w:customStyle="1" w:styleId="apple-converted-space">
    <w:name w:val="apple-converted-space"/>
    <w:basedOn w:val="DefaultParagraphFont"/>
    <w:rsid w:val="008A1F5A"/>
  </w:style>
  <w:style w:type="character" w:customStyle="1" w:styleId="FooterChar">
    <w:name w:val="Footer Char"/>
    <w:basedOn w:val="DefaultParagraphFont"/>
    <w:link w:val="Footer"/>
    <w:uiPriority w:val="99"/>
    <w:rsid w:val="008A1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007FB-DA47-45F9-844F-A51DD93C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16</Pages>
  <Words>6145</Words>
  <Characters>35030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Chapter Outlines and Solutions for</vt:lpstr>
    </vt:vector>
  </TitlesOfParts>
  <Company>GSU</Company>
  <LinksUpToDate>false</LinksUpToDate>
  <CharactersWithSpaces>41093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Outlines and Solutions for</dc:title>
  <dc:creator>College of Business</dc:creator>
  <cp:lastModifiedBy>Poornima K</cp:lastModifiedBy>
  <cp:revision>14</cp:revision>
  <cp:lastPrinted>2007-02-10T18:37:00Z</cp:lastPrinted>
  <dcterms:created xsi:type="dcterms:W3CDTF">2012-12-07T18:20:00Z</dcterms:created>
  <dcterms:modified xsi:type="dcterms:W3CDTF">2013-10-01T12:36:00Z</dcterms:modified>
</cp:coreProperties>
</file>